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69B4" w14:textId="77777777" w:rsidR="00063CA7" w:rsidRDefault="00063CA7" w:rsidP="00063CA7">
      <w:pPr>
        <w:pStyle w:val="Heading1"/>
        <w:spacing w:before="0" w:after="0" w:line="276" w:lineRule="auto"/>
      </w:pPr>
    </w:p>
    <w:p w14:paraId="747474EC" w14:textId="2B99B14C" w:rsidR="00E63DEE" w:rsidRDefault="00E65519" w:rsidP="00063CA7">
      <w:pPr>
        <w:pStyle w:val="Heading1"/>
        <w:spacing w:before="0" w:after="0" w:line="276" w:lineRule="auto"/>
      </w:pPr>
      <w:r>
        <w:t>Summary of 2025-26 Budget Agreement</w:t>
      </w:r>
    </w:p>
    <w:p w14:paraId="7B4355D6" w14:textId="28FC57F4" w:rsidR="00E65519" w:rsidRDefault="00E65519" w:rsidP="00063CA7">
      <w:pPr>
        <w:spacing w:after="0" w:line="276" w:lineRule="auto"/>
      </w:pPr>
    </w:p>
    <w:p w14:paraId="2FD78EA8" w14:textId="48E9F634" w:rsidR="0018583A" w:rsidRPr="0018583A" w:rsidRDefault="0018583A" w:rsidP="00063CA7">
      <w:pPr>
        <w:pStyle w:val="Heading2"/>
        <w:spacing w:before="0" w:after="0" w:line="276" w:lineRule="auto"/>
      </w:pPr>
      <w:r w:rsidRPr="0018583A">
        <w:t>Overview</w:t>
      </w:r>
    </w:p>
    <w:p w14:paraId="2688CC10" w14:textId="756CE8CE" w:rsidR="00E63DEE" w:rsidRPr="00E63DEE" w:rsidRDefault="00E63DEE" w:rsidP="00063CA7">
      <w:pPr>
        <w:spacing w:after="0" w:line="276" w:lineRule="auto"/>
      </w:pPr>
      <w:r>
        <w:t>I</w:t>
      </w:r>
      <w:r w:rsidRPr="00E63DEE">
        <w:t>n the aftermath of the COVID-19 pandemic</w:t>
      </w:r>
      <w:r w:rsidR="00AA23AC">
        <w:t xml:space="preserve">, </w:t>
      </w:r>
      <w:r w:rsidR="5133559E">
        <w:t>California</w:t>
      </w:r>
      <w:r w:rsidR="00AA23AC">
        <w:t xml:space="preserve"> </w:t>
      </w:r>
      <w:r w:rsidR="00F32573">
        <w:t xml:space="preserve">saw an unprecedented influx of new revenue </w:t>
      </w:r>
      <w:r w:rsidR="13C53F4D">
        <w:t xml:space="preserve">— </w:t>
      </w:r>
      <w:r w:rsidR="0ADF24A9">
        <w:t xml:space="preserve">which prompted </w:t>
      </w:r>
      <w:r w:rsidR="00133AB9">
        <w:t xml:space="preserve">significant new spending commitments. </w:t>
      </w:r>
      <w:r w:rsidR="00C72E72">
        <w:t>Now</w:t>
      </w:r>
      <w:r w:rsidR="44C2C1CE">
        <w:t>,</w:t>
      </w:r>
      <w:r w:rsidR="00C72E72">
        <w:t xml:space="preserve"> the state faces </w:t>
      </w:r>
      <w:r w:rsidR="004C0438">
        <w:t>f</w:t>
      </w:r>
      <w:r>
        <w:t>inancial</w:t>
      </w:r>
      <w:r w:rsidRPr="00E63DEE">
        <w:t xml:space="preserve"> </w:t>
      </w:r>
      <w:r w:rsidR="00707ADB">
        <w:t xml:space="preserve">challenges and </w:t>
      </w:r>
      <w:r w:rsidRPr="00E63DEE">
        <w:t xml:space="preserve">uncertainties </w:t>
      </w:r>
      <w:r w:rsidR="00C050CD">
        <w:t xml:space="preserve">as revenues have failed to keep pace with </w:t>
      </w:r>
      <w:r w:rsidR="00205516">
        <w:t>climbing spending</w:t>
      </w:r>
      <w:r w:rsidRPr="00E63DEE">
        <w:t xml:space="preserve">. While </w:t>
      </w:r>
      <w:r>
        <w:t>the</w:t>
      </w:r>
      <w:r w:rsidRPr="00E63DEE">
        <w:t xml:space="preserve"> </w:t>
      </w:r>
      <w:r w:rsidR="7C54819F">
        <w:t>g</w:t>
      </w:r>
      <w:r>
        <w:t>overnor’s 2025</w:t>
      </w:r>
      <w:r w:rsidRPr="00E63DEE">
        <w:t>-26 budget proposal released in January</w:t>
      </w:r>
      <w:r>
        <w:t xml:space="preserve"> continued an agreement </w:t>
      </w:r>
      <w:r w:rsidR="4F57479C">
        <w:t xml:space="preserve">to </w:t>
      </w:r>
      <w:r>
        <w:t>use reserves to help maintain a balance</w:t>
      </w:r>
      <w:r w:rsidR="5FFB6516">
        <w:t>d</w:t>
      </w:r>
      <w:r>
        <w:t xml:space="preserve"> budget</w:t>
      </w:r>
      <w:r w:rsidR="202F26E3">
        <w:t>,</w:t>
      </w:r>
      <w:r w:rsidR="0A37A2DE">
        <w:t xml:space="preserve"> </w:t>
      </w:r>
      <w:r w:rsidRPr="00E63DEE">
        <w:t xml:space="preserve">circumstances have since changed dramatically. </w:t>
      </w:r>
      <w:r w:rsidR="006E7CDA">
        <w:t xml:space="preserve">In May, </w:t>
      </w:r>
      <w:r w:rsidRPr="00E63DEE">
        <w:t xml:space="preserve">California </w:t>
      </w:r>
      <w:r w:rsidR="006E7CDA">
        <w:t>was projected to</w:t>
      </w:r>
      <w:r w:rsidR="006E7CDA" w:rsidRPr="00E63DEE">
        <w:t xml:space="preserve"> </w:t>
      </w:r>
      <w:r>
        <w:t>face a</w:t>
      </w:r>
      <w:r w:rsidRPr="00E63DEE" w:rsidDel="006E7CDA">
        <w:t xml:space="preserve"> </w:t>
      </w:r>
      <w:r w:rsidR="006E7CDA">
        <w:t>$12 billion</w:t>
      </w:r>
      <w:r w:rsidR="006E7CDA" w:rsidRPr="00E63DEE">
        <w:t xml:space="preserve"> </w:t>
      </w:r>
      <w:r w:rsidRPr="00E63DEE">
        <w:t>budget shortfall, driven by three primary factors:</w:t>
      </w:r>
    </w:p>
    <w:p w14:paraId="69093A88" w14:textId="77777777" w:rsidR="00E63DEE" w:rsidRPr="00E63DEE" w:rsidRDefault="00E63DEE" w:rsidP="00063CA7">
      <w:pPr>
        <w:spacing w:after="0" w:line="276" w:lineRule="auto"/>
      </w:pPr>
    </w:p>
    <w:p w14:paraId="75DDFA52" w14:textId="5A0110D9" w:rsidR="00E63DEE" w:rsidRPr="00E63DEE" w:rsidRDefault="00E63DEE" w:rsidP="00063CA7">
      <w:pPr>
        <w:pStyle w:val="ListParagraph"/>
        <w:numPr>
          <w:ilvl w:val="0"/>
          <w:numId w:val="3"/>
        </w:numPr>
        <w:spacing w:after="0" w:line="276" w:lineRule="auto"/>
        <w:contextualSpacing w:val="0"/>
      </w:pPr>
      <w:r w:rsidRPr="00E63DEE">
        <w:rPr>
          <w:b/>
          <w:bCs/>
        </w:rPr>
        <w:t>Federal Policy Impacts</w:t>
      </w:r>
      <w:r>
        <w:rPr>
          <w:b/>
          <w:bCs/>
        </w:rPr>
        <w:t xml:space="preserve"> and Economic Risk</w:t>
      </w:r>
      <w:r w:rsidRPr="00E63DEE">
        <w:t xml:space="preserve">: New federal tariffs have </w:t>
      </w:r>
      <w:r>
        <w:t>contributed</w:t>
      </w:r>
      <w:r w:rsidRPr="00E63DEE">
        <w:t xml:space="preserve"> to a downgraded global and state economic outlook. The Newsom </w:t>
      </w:r>
      <w:r w:rsidR="2F699C5C">
        <w:t>a</w:t>
      </w:r>
      <w:r w:rsidRPr="00E63DEE">
        <w:t>dministration estimates that, absent these federal policies, General Fund revenues would be $16 billion higher.</w:t>
      </w:r>
    </w:p>
    <w:p w14:paraId="23847A18" w14:textId="454D2538" w:rsidR="00E63DEE" w:rsidRPr="00E63DEE" w:rsidRDefault="00E63DEE" w:rsidP="00063CA7">
      <w:pPr>
        <w:pStyle w:val="ListParagraph"/>
        <w:numPr>
          <w:ilvl w:val="0"/>
          <w:numId w:val="3"/>
        </w:numPr>
        <w:spacing w:after="0" w:line="276" w:lineRule="auto"/>
        <w:contextualSpacing w:val="0"/>
      </w:pPr>
      <w:r w:rsidRPr="00E63DEE">
        <w:rPr>
          <w:b/>
          <w:bCs/>
        </w:rPr>
        <w:t>Rising Baseline Costs</w:t>
      </w:r>
      <w:r w:rsidRPr="00E63DEE">
        <w:t xml:space="preserve">: </w:t>
      </w:r>
      <w:r w:rsidR="5E498287">
        <w:t>Some p</w:t>
      </w:r>
      <w:r w:rsidRPr="00E63DEE">
        <w:t>rograms</w:t>
      </w:r>
      <w:r w:rsidR="19D5764E">
        <w:t>,</w:t>
      </w:r>
      <w:r w:rsidRPr="00E63DEE">
        <w:t xml:space="preserve"> such as Medi-Cal</w:t>
      </w:r>
      <w:r w:rsidR="4CAA6B0A">
        <w:t>,</w:t>
      </w:r>
      <w:r w:rsidRPr="00E63DEE">
        <w:t xml:space="preserve"> have seen baseline cost increases that outpace previous projections.</w:t>
      </w:r>
    </w:p>
    <w:p w14:paraId="2C4CADB5" w14:textId="77777777" w:rsidR="00E63DEE" w:rsidRPr="00E63DEE" w:rsidRDefault="00E63DEE" w:rsidP="00063CA7">
      <w:pPr>
        <w:pStyle w:val="ListParagraph"/>
        <w:numPr>
          <w:ilvl w:val="0"/>
          <w:numId w:val="3"/>
        </w:numPr>
        <w:spacing w:after="0" w:line="276" w:lineRule="auto"/>
        <w:contextualSpacing w:val="0"/>
      </w:pPr>
      <w:r w:rsidRPr="00E63DEE">
        <w:rPr>
          <w:b/>
          <w:bCs/>
        </w:rPr>
        <w:t>Natural Disaster Costs</w:t>
      </w:r>
      <w:r w:rsidRPr="00E63DEE">
        <w:t>: Recent destructive wildfires in Los Angeles have led to higher state spending and economic disruption.</w:t>
      </w:r>
    </w:p>
    <w:p w14:paraId="14B0BB12" w14:textId="77777777" w:rsidR="00E63DEE" w:rsidRPr="00E63DEE" w:rsidRDefault="00E63DEE" w:rsidP="00063CA7">
      <w:pPr>
        <w:spacing w:after="0" w:line="276" w:lineRule="auto"/>
      </w:pPr>
    </w:p>
    <w:p w14:paraId="5B054B7F" w14:textId="6A27CAFA" w:rsidR="00E63DEE" w:rsidRPr="00E63DEE" w:rsidRDefault="0018583A" w:rsidP="00063CA7">
      <w:pPr>
        <w:spacing w:after="0" w:line="276" w:lineRule="auto"/>
      </w:pPr>
      <w:r>
        <w:t>T</w:t>
      </w:r>
      <w:r w:rsidR="00E63DEE" w:rsidRPr="00E63DEE">
        <w:t xml:space="preserve">he </w:t>
      </w:r>
      <w:r w:rsidR="2D48ED5E">
        <w:t>g</w:t>
      </w:r>
      <w:r w:rsidR="00E63DEE" w:rsidRPr="00E63DEE">
        <w:t xml:space="preserve">overnor’s May Revision </w:t>
      </w:r>
      <w:hyperlink r:id="rId10" w:history="1">
        <w:r w:rsidR="0AC9CACD" w:rsidRPr="493BC2A7">
          <w:rPr>
            <w:rStyle w:val="Hyperlink"/>
          </w:rPr>
          <w:t>budget proposal</w:t>
        </w:r>
      </w:hyperlink>
      <w:r w:rsidR="0AC9CACD">
        <w:t xml:space="preserve"> include</w:t>
      </w:r>
      <w:r w:rsidR="001E6C76">
        <w:t>d</w:t>
      </w:r>
      <w:r w:rsidR="00E63DEE">
        <w:t xml:space="preserve"> </w:t>
      </w:r>
      <w:r w:rsidR="00E63DEE" w:rsidRPr="00E63DEE">
        <w:t xml:space="preserve">a mix of spending reductions, borrowing, and </w:t>
      </w:r>
      <w:r w:rsidR="006E0B05">
        <w:t>fund</w:t>
      </w:r>
      <w:r w:rsidR="049DBC1A">
        <w:t>ing</w:t>
      </w:r>
      <w:r w:rsidR="006E0B05">
        <w:t xml:space="preserve"> shifts</w:t>
      </w:r>
      <w:r w:rsidR="006E7CDA">
        <w:t xml:space="preserve"> to solve the budget problem</w:t>
      </w:r>
      <w:r w:rsidR="00E63DEE" w:rsidRPr="00E63DEE">
        <w:t xml:space="preserve">. The Legislature </w:t>
      </w:r>
      <w:hyperlink r:id="rId11" w:history="1">
        <w:r w:rsidR="00E63DEE" w:rsidRPr="7DFBD4AA">
          <w:rPr>
            <w:rStyle w:val="Hyperlink"/>
          </w:rPr>
          <w:t>passed its own version of the budget</w:t>
        </w:r>
      </w:hyperlink>
      <w:r w:rsidR="00E63DEE" w:rsidRPr="00E63DEE">
        <w:t xml:space="preserve"> on June 13, and now the </w:t>
      </w:r>
      <w:r w:rsidR="1B8C57B6">
        <w:t>g</w:t>
      </w:r>
      <w:r w:rsidR="00E63DEE" w:rsidRPr="00E63DEE">
        <w:t>overnor and Legislature have reached agreement on the final Budget Act of 2025.</w:t>
      </w:r>
    </w:p>
    <w:p w14:paraId="752E3C8C" w14:textId="77777777" w:rsidR="00E63DEE" w:rsidRPr="00E63DEE" w:rsidRDefault="00E63DEE" w:rsidP="00063CA7">
      <w:pPr>
        <w:spacing w:after="0" w:line="276" w:lineRule="auto"/>
      </w:pPr>
    </w:p>
    <w:p w14:paraId="4A443C5F" w14:textId="7A2D28A5" w:rsidR="00E63DEE" w:rsidRDefault="00E63DEE" w:rsidP="00063CA7">
      <w:pPr>
        <w:spacing w:after="0" w:line="276" w:lineRule="auto"/>
        <w:rPr>
          <w:rFonts w:eastAsia="Seaford" w:cs="Seaford"/>
        </w:rPr>
      </w:pPr>
      <w:r>
        <w:t>The</w:t>
      </w:r>
      <w:r w:rsidR="5147FA02">
        <w:t xml:space="preserve"> 2025-26</w:t>
      </w:r>
      <w:r w:rsidRPr="00E63DEE">
        <w:t xml:space="preserve"> budget totals $321.1 billion in spending, including $228.4 billion from the General Fund. It </w:t>
      </w:r>
      <w:r>
        <w:t xml:space="preserve">helps address the shortfall </w:t>
      </w:r>
      <w:r w:rsidRPr="00E63DEE">
        <w:t xml:space="preserve">through a range of solutions and </w:t>
      </w:r>
      <w:r>
        <w:t>leaves the state with</w:t>
      </w:r>
      <w:r w:rsidRPr="00E63DEE">
        <w:t xml:space="preserve"> $15.7 billion in total reserves</w:t>
      </w:r>
      <w:r>
        <w:t xml:space="preserve"> in 2025-26. </w:t>
      </w:r>
      <w:r w:rsidR="5656058D">
        <w:t>However, i</w:t>
      </w:r>
      <w:r w:rsidR="5BE9DC15" w:rsidRPr="0211B5D6">
        <w:rPr>
          <w:rFonts w:eastAsia="Seaford" w:cs="Seaford"/>
        </w:rPr>
        <w:t>t</w:t>
      </w:r>
      <w:r w:rsidR="5BE9DC15" w:rsidRPr="1995D95F">
        <w:rPr>
          <w:rFonts w:eastAsia="Seaford" w:cs="Seaford"/>
        </w:rPr>
        <w:t xml:space="preserve"> does not assume the enactment of any cuts in federal funding currently under consideration by Congress or proposed by federal regulators</w:t>
      </w:r>
      <w:r w:rsidR="45F2BC9E" w:rsidRPr="080C901B">
        <w:rPr>
          <w:rFonts w:eastAsia="Seaford" w:cs="Seaford"/>
        </w:rPr>
        <w:t xml:space="preserve">; if </w:t>
      </w:r>
      <w:r w:rsidR="45F2BC9E" w:rsidRPr="73B653D0">
        <w:rPr>
          <w:rFonts w:eastAsia="Seaford" w:cs="Seaford"/>
        </w:rPr>
        <w:t xml:space="preserve">enacted, </w:t>
      </w:r>
      <w:r w:rsidR="45F2BC9E" w:rsidRPr="525F864A">
        <w:rPr>
          <w:rFonts w:eastAsia="Seaford" w:cs="Seaford"/>
        </w:rPr>
        <w:t>these</w:t>
      </w:r>
      <w:r w:rsidR="5BE9DC15" w:rsidRPr="1995D95F">
        <w:rPr>
          <w:rFonts w:eastAsia="Seaford" w:cs="Seaford"/>
        </w:rPr>
        <w:t xml:space="preserve"> would affect eligibility, methods of </w:t>
      </w:r>
      <w:r w:rsidR="5BE9DC15" w:rsidRPr="1995D95F">
        <w:rPr>
          <w:rFonts w:eastAsia="Seaford" w:cs="Seaford"/>
        </w:rPr>
        <w:lastRenderedPageBreak/>
        <w:t xml:space="preserve">financing, provider payments, and benefits </w:t>
      </w:r>
      <w:r w:rsidR="3B348F19" w:rsidRPr="05EF87EF">
        <w:rPr>
          <w:rFonts w:eastAsia="Seaford" w:cs="Seaford"/>
        </w:rPr>
        <w:t>—</w:t>
      </w:r>
      <w:r w:rsidR="5BE9DC15" w:rsidRPr="2FD36761">
        <w:rPr>
          <w:rFonts w:eastAsia="Seaford" w:cs="Seaford"/>
        </w:rPr>
        <w:t xml:space="preserve"> </w:t>
      </w:r>
      <w:r w:rsidR="5BE9DC15" w:rsidRPr="1995D95F">
        <w:rPr>
          <w:rFonts w:eastAsia="Seaford" w:cs="Seaford"/>
        </w:rPr>
        <w:t xml:space="preserve">and create </w:t>
      </w:r>
      <w:r w:rsidR="647DC6DD" w:rsidRPr="02347609">
        <w:rPr>
          <w:rFonts w:eastAsia="Seaford" w:cs="Seaford"/>
        </w:rPr>
        <w:t xml:space="preserve">tens of billions of </w:t>
      </w:r>
      <w:r w:rsidR="647DC6DD" w:rsidRPr="42C845AB">
        <w:rPr>
          <w:rFonts w:eastAsia="Seaford" w:cs="Seaford"/>
        </w:rPr>
        <w:t xml:space="preserve">dollars in </w:t>
      </w:r>
      <w:r w:rsidR="5BE9DC15" w:rsidRPr="42C845AB">
        <w:rPr>
          <w:rFonts w:eastAsia="Seaford" w:cs="Seaford"/>
        </w:rPr>
        <w:t>Medi</w:t>
      </w:r>
      <w:r w:rsidR="5BE9DC15" w:rsidRPr="1995D95F">
        <w:rPr>
          <w:rFonts w:eastAsia="Seaford" w:cs="Seaford"/>
        </w:rPr>
        <w:t>-Cal budget pressures</w:t>
      </w:r>
      <w:r w:rsidR="242BF536" w:rsidRPr="1995D95F">
        <w:rPr>
          <w:rFonts w:eastAsia="Seaford" w:cs="Seaford"/>
        </w:rPr>
        <w:t xml:space="preserve"> </w:t>
      </w:r>
      <w:r w:rsidR="20E0E7FC" w:rsidRPr="1995D95F">
        <w:rPr>
          <w:rFonts w:eastAsia="Seaford" w:cs="Seaford"/>
        </w:rPr>
        <w:t>for the state</w:t>
      </w:r>
      <w:r w:rsidR="5BE9DC15" w:rsidRPr="1995D95F">
        <w:rPr>
          <w:rFonts w:eastAsia="Seaford" w:cs="Seaford"/>
        </w:rPr>
        <w:t>. Additional revisions</w:t>
      </w:r>
      <w:r w:rsidR="5BE9DC15" w:rsidRPr="1995D95F" w:rsidDel="00DE08E9">
        <w:rPr>
          <w:rFonts w:eastAsia="Seaford" w:cs="Seaford"/>
        </w:rPr>
        <w:t xml:space="preserve"> </w:t>
      </w:r>
      <w:r w:rsidR="00DE08E9">
        <w:rPr>
          <w:rFonts w:eastAsia="Seaford" w:cs="Seaford"/>
        </w:rPr>
        <w:t>c</w:t>
      </w:r>
      <w:r w:rsidR="00DE08E9" w:rsidRPr="1995D95F">
        <w:rPr>
          <w:rFonts w:eastAsia="Seaford" w:cs="Seaford"/>
        </w:rPr>
        <w:t xml:space="preserve">ould </w:t>
      </w:r>
      <w:r w:rsidR="5BE9DC15" w:rsidRPr="1995D95F">
        <w:rPr>
          <w:rFonts w:eastAsia="Seaford" w:cs="Seaford"/>
        </w:rPr>
        <w:t xml:space="preserve">be needed to the 2025-26 budget to address the challenges created by federal funding cuts. </w:t>
      </w:r>
      <w:r w:rsidR="18281B36" w:rsidRPr="44417FDB">
        <w:rPr>
          <w:rFonts w:eastAsia="Seaford" w:cs="Seaford"/>
        </w:rPr>
        <w:t xml:space="preserve">Even without cuts at the federal level, the budget </w:t>
      </w:r>
      <w:r w:rsidR="18281B36" w:rsidRPr="5FCED051">
        <w:rPr>
          <w:rFonts w:eastAsia="Seaford" w:cs="Seaford"/>
        </w:rPr>
        <w:t>projects s</w:t>
      </w:r>
      <w:r w:rsidR="00A00FB2" w:rsidRPr="5FCED051">
        <w:rPr>
          <w:rFonts w:eastAsia="Seaford" w:cs="Seaford"/>
        </w:rPr>
        <w:t>ignificant</w:t>
      </w:r>
      <w:r w:rsidR="00A00FB2">
        <w:rPr>
          <w:rFonts w:eastAsia="Seaford" w:cs="Seaford"/>
        </w:rPr>
        <w:t xml:space="preserve"> </w:t>
      </w:r>
      <w:r w:rsidR="00180C1C">
        <w:rPr>
          <w:rFonts w:eastAsia="Seaford" w:cs="Seaford"/>
        </w:rPr>
        <w:t xml:space="preserve">structural deficits for future years, making it </w:t>
      </w:r>
      <w:r w:rsidR="00E269A6">
        <w:rPr>
          <w:rFonts w:eastAsia="Seaford" w:cs="Seaford"/>
        </w:rPr>
        <w:t xml:space="preserve">nearly certain that </w:t>
      </w:r>
      <w:r w:rsidR="006D30CA">
        <w:rPr>
          <w:rFonts w:eastAsia="Seaford" w:cs="Seaford"/>
        </w:rPr>
        <w:t xml:space="preserve">additional </w:t>
      </w:r>
      <w:r w:rsidR="00037F69">
        <w:rPr>
          <w:rFonts w:eastAsia="Seaford" w:cs="Seaford"/>
        </w:rPr>
        <w:t xml:space="preserve">actions to stabilize </w:t>
      </w:r>
      <w:r w:rsidR="00D30C1C">
        <w:rPr>
          <w:rFonts w:eastAsia="Seaford" w:cs="Seaford"/>
        </w:rPr>
        <w:t>the state budget will be needed next year and beyond.</w:t>
      </w:r>
    </w:p>
    <w:p w14:paraId="4567DBAA" w14:textId="3B19FC8B" w:rsidR="00063CA7" w:rsidRDefault="00E63DEE" w:rsidP="00063CA7">
      <w:pPr>
        <w:spacing w:after="0" w:line="276" w:lineRule="auto"/>
      </w:pPr>
      <w:r w:rsidRPr="00E63DEE">
        <w:t xml:space="preserve">The </w:t>
      </w:r>
      <w:r w:rsidR="69794448">
        <w:t xml:space="preserve">final budget </w:t>
      </w:r>
      <w:r w:rsidRPr="00E63DEE">
        <w:t xml:space="preserve">agreement makes significant changes to Medi-Cal and health care financing. While the agreement includes difficult decisions aimed at addressing the state’s budget shortfall, the final package includes several </w:t>
      </w:r>
      <w:r w:rsidR="0014271B">
        <w:t>changes to</w:t>
      </w:r>
      <w:r w:rsidRPr="00E63DEE">
        <w:t xml:space="preserve"> the Governor’s original January and May proposals</w:t>
      </w:r>
      <w:r w:rsidR="00063CA7">
        <w:t xml:space="preserve"> —</w:t>
      </w:r>
      <w:r w:rsidRPr="00E63DEE">
        <w:t xml:space="preserve"> </w:t>
      </w:r>
      <w:r w:rsidR="00F957D4">
        <w:t>including changes that affect</w:t>
      </w:r>
      <w:r w:rsidRPr="00E63DEE">
        <w:t xml:space="preserve"> hospitals and health care providers. Below is a summary of the key components of the agreement relevant to hospitals and the communities they serve</w:t>
      </w:r>
      <w:r w:rsidR="002810F4">
        <w:t xml:space="preserve">. </w:t>
      </w:r>
    </w:p>
    <w:p w14:paraId="116BBD9B" w14:textId="77777777" w:rsidR="00063CA7" w:rsidRDefault="00063CA7" w:rsidP="00063CA7">
      <w:pPr>
        <w:spacing w:after="0" w:line="276" w:lineRule="auto"/>
      </w:pPr>
    </w:p>
    <w:p w14:paraId="29871FE7" w14:textId="712F79FD" w:rsidR="0018583A" w:rsidRDefault="0018583A" w:rsidP="00063CA7">
      <w:pPr>
        <w:pStyle w:val="Heading2"/>
        <w:spacing w:before="0" w:after="0" w:line="276" w:lineRule="auto"/>
      </w:pPr>
      <w:r>
        <w:t>Key Provisions</w:t>
      </w:r>
    </w:p>
    <w:p w14:paraId="0478F45F" w14:textId="77777777" w:rsidR="002810F4" w:rsidRDefault="002810F4" w:rsidP="00063CA7">
      <w:pPr>
        <w:pStyle w:val="Style1"/>
        <w:spacing w:before="0" w:after="0" w:line="276" w:lineRule="auto"/>
      </w:pPr>
      <w:r w:rsidRPr="00E63DEE">
        <w:t>Managed Care Organization (MCO) Tax</w:t>
      </w:r>
    </w:p>
    <w:p w14:paraId="07C3FACB" w14:textId="6D55A0AC" w:rsidR="002810F4" w:rsidRDefault="002810F4" w:rsidP="00063CA7">
      <w:pPr>
        <w:spacing w:after="0" w:line="276" w:lineRule="auto"/>
      </w:pPr>
      <w:r w:rsidRPr="00E63DEE">
        <w:t xml:space="preserve">The agreement approves the </w:t>
      </w:r>
      <w:r w:rsidR="16AC071D">
        <w:t>g</w:t>
      </w:r>
      <w:r w:rsidRPr="00E63DEE">
        <w:t xml:space="preserve">overnor’s proposal to </w:t>
      </w:r>
      <w:r w:rsidR="00217D38">
        <w:t>sweep</w:t>
      </w:r>
      <w:r w:rsidRPr="00E63DEE">
        <w:t xml:space="preserve"> Proposition 35’s MCO tax</w:t>
      </w:r>
      <w:r w:rsidR="00217D38">
        <w:t xml:space="preserve"> funds that were intended for </w:t>
      </w:r>
      <w:r w:rsidR="005C3F9A" w:rsidRPr="005C3F9A">
        <w:t xml:space="preserve">enhancing payments to </w:t>
      </w:r>
      <w:r w:rsidR="000D3375">
        <w:t>primary care, specialty care</w:t>
      </w:r>
      <w:r w:rsidRPr="00E63DEE">
        <w:t xml:space="preserve">, </w:t>
      </w:r>
      <w:r w:rsidR="005C3F9A" w:rsidRPr="005C3F9A">
        <w:t>hospital outpatient, and ground emergency medical transportation providers</w:t>
      </w:r>
      <w:r w:rsidR="15A9F707">
        <w:t>; this tax is estimated to generate</w:t>
      </w:r>
      <w:r w:rsidRPr="00E63DEE">
        <w:t xml:space="preserve"> $1.3 billion in 2025-26. While this is a significant redirection of hospital-supported revenue, CHA continues to advocate for </w:t>
      </w:r>
      <w:r w:rsidR="00AC478A">
        <w:t>the app</w:t>
      </w:r>
      <w:r w:rsidR="00A35F3F">
        <w:t xml:space="preserve">ropriate use of the </w:t>
      </w:r>
      <w:r w:rsidR="00F748F7">
        <w:t xml:space="preserve">emergency </w:t>
      </w:r>
      <w:r w:rsidR="002E5421">
        <w:t>department funding not swept as part of the final budget agreement</w:t>
      </w:r>
      <w:r w:rsidRPr="00E63DEE">
        <w:t>.</w:t>
      </w:r>
    </w:p>
    <w:p w14:paraId="564CF292" w14:textId="77777777" w:rsidR="00063CA7" w:rsidRDefault="00063CA7" w:rsidP="00063CA7">
      <w:pPr>
        <w:pStyle w:val="Style1"/>
        <w:spacing w:before="0" w:after="0" w:line="276" w:lineRule="auto"/>
      </w:pPr>
    </w:p>
    <w:p w14:paraId="7C722B90" w14:textId="0E5E64C8" w:rsidR="00E63DEE" w:rsidRDefault="00E63DEE" w:rsidP="00063CA7">
      <w:pPr>
        <w:pStyle w:val="Style1"/>
        <w:spacing w:before="0" w:after="0" w:line="276" w:lineRule="auto"/>
      </w:pPr>
      <w:r w:rsidRPr="00E63DEE">
        <w:t>Key Medi-Cal Budget Solutions</w:t>
      </w:r>
    </w:p>
    <w:p w14:paraId="0830430F" w14:textId="4EC4631A" w:rsidR="00573B00" w:rsidRPr="00E63DEE" w:rsidRDefault="00E63DEE" w:rsidP="00063CA7">
      <w:pPr>
        <w:numPr>
          <w:ilvl w:val="0"/>
          <w:numId w:val="1"/>
        </w:numPr>
        <w:spacing w:after="0" w:line="276" w:lineRule="auto"/>
      </w:pPr>
      <w:r w:rsidRPr="00E63DEE">
        <w:rPr>
          <w:b/>
          <w:bCs/>
        </w:rPr>
        <w:t>Medi-Cal Asset Limit Restoration</w:t>
      </w:r>
      <w:r w:rsidRPr="00E63DEE">
        <w:t xml:space="preserve">: The budget </w:t>
      </w:r>
      <w:r w:rsidR="00CB0263">
        <w:t>includes a</w:t>
      </w:r>
      <w:r w:rsidRPr="00E63DEE">
        <w:t xml:space="preserve"> Medi-Cal asset limit </w:t>
      </w:r>
      <w:r w:rsidR="00CB0263">
        <w:t xml:space="preserve">of </w:t>
      </w:r>
      <w:r w:rsidRPr="00E63DEE">
        <w:t>$130,000</w:t>
      </w:r>
      <w:r w:rsidR="380292A1">
        <w:t xml:space="preserve">, an increase from the governor’s proposal </w:t>
      </w:r>
      <w:proofErr w:type="spellStart"/>
      <w:r w:rsidR="380292A1">
        <w:t>of</w:t>
      </w:r>
      <w:r w:rsidRPr="00E63DEE">
        <w:t>o</w:t>
      </w:r>
      <w:proofErr w:type="spellEnd"/>
      <w:r w:rsidRPr="00E63DEE">
        <w:t xml:space="preserve"> $2,000. This change results in General Fund savings of $45 million in 2025-26, growing to $510 million </w:t>
      </w:r>
      <w:r w:rsidR="20F6947C">
        <w:t>in future years</w:t>
      </w:r>
      <w:r>
        <w:t>.</w:t>
      </w:r>
    </w:p>
    <w:p w14:paraId="7571442B" w14:textId="2AA62005" w:rsidR="007F7CF7" w:rsidRPr="00063CA7" w:rsidRDefault="00E63DEE" w:rsidP="00063CA7">
      <w:pPr>
        <w:numPr>
          <w:ilvl w:val="0"/>
          <w:numId w:val="1"/>
        </w:numPr>
        <w:spacing w:after="0" w:line="276" w:lineRule="auto"/>
        <w:rPr>
          <w:rFonts w:eastAsia="Aptos" w:cs="Arial"/>
        </w:rPr>
      </w:pPr>
      <w:r w:rsidRPr="00E63DEE">
        <w:rPr>
          <w:b/>
          <w:bCs/>
        </w:rPr>
        <w:t>Undocumented Medi-Cal Enrollment Changes</w:t>
      </w:r>
      <w:r w:rsidRPr="00E63DEE">
        <w:t xml:space="preserve">: </w:t>
      </w:r>
      <w:r w:rsidR="15A79C26" w:rsidRPr="0A7E4FFB">
        <w:rPr>
          <w:rFonts w:eastAsia="Aptos" w:cs="Arial"/>
        </w:rPr>
        <w:t xml:space="preserve">Starting </w:t>
      </w:r>
      <w:r w:rsidR="26B92B5A" w:rsidRPr="059F1B83">
        <w:rPr>
          <w:rFonts w:eastAsia="Aptos" w:cs="Arial"/>
        </w:rPr>
        <w:t>January</w:t>
      </w:r>
      <w:r w:rsidR="15A79C26" w:rsidRPr="0A7E4FFB">
        <w:rPr>
          <w:rFonts w:eastAsia="Aptos" w:cs="Arial"/>
        </w:rPr>
        <w:t xml:space="preserve"> 1, 2026, undocumented residents over the age of 19 would be subject to a Medi-Cal enrollment freeze; this includes a six-month re-enrollment grace period and specifies that children will not age out. Savings grow to </w:t>
      </w:r>
      <w:r w:rsidR="15A79C26" w:rsidRPr="0A7E4FFB">
        <w:rPr>
          <w:rFonts w:eastAsia="Aptos" w:cs="Arial"/>
          <w:b/>
        </w:rPr>
        <w:t xml:space="preserve">$3.3 billion annually </w:t>
      </w:r>
      <w:r w:rsidR="15A79C26" w:rsidRPr="0A7E4FFB">
        <w:rPr>
          <w:rFonts w:eastAsia="Aptos" w:cs="Arial"/>
        </w:rPr>
        <w:t xml:space="preserve">when fully implemented in future years.   </w:t>
      </w:r>
    </w:p>
    <w:p w14:paraId="62A3DE29" w14:textId="27CDD6EA" w:rsidR="007F7CF7" w:rsidRPr="00E63DEE" w:rsidRDefault="00E63DEE" w:rsidP="00063CA7">
      <w:pPr>
        <w:numPr>
          <w:ilvl w:val="0"/>
          <w:numId w:val="1"/>
        </w:numPr>
        <w:spacing w:after="0" w:line="276" w:lineRule="auto"/>
      </w:pPr>
      <w:r w:rsidRPr="00E63DEE">
        <w:rPr>
          <w:b/>
          <w:bCs/>
        </w:rPr>
        <w:t>Premiums for Undocumented Adults</w:t>
      </w:r>
      <w:r w:rsidRPr="00E63DEE">
        <w:t>: Premiums for undocumented adults aged 19-59 will begin July 1, 2027</w:t>
      </w:r>
      <w:r w:rsidR="69EE58FC">
        <w:t>,</w:t>
      </w:r>
      <w:r w:rsidRPr="00E63DEE">
        <w:t xml:space="preserve"> at $30</w:t>
      </w:r>
      <w:r w:rsidR="0050302E">
        <w:t xml:space="preserve"> per </w:t>
      </w:r>
      <w:r w:rsidRPr="00E63DEE">
        <w:t xml:space="preserve">month </w:t>
      </w:r>
      <w:r w:rsidR="7AC32838">
        <w:t>(</w:t>
      </w:r>
      <w:r w:rsidR="47ACAB9B">
        <w:t>lowered from</w:t>
      </w:r>
      <w:r w:rsidRPr="00E63DEE">
        <w:t xml:space="preserve"> the </w:t>
      </w:r>
      <w:r w:rsidR="55BF257B">
        <w:t>g</w:t>
      </w:r>
      <w:r w:rsidR="0050302E">
        <w:t xml:space="preserve">overnor’s </w:t>
      </w:r>
      <w:r>
        <w:t>propos</w:t>
      </w:r>
      <w:r w:rsidR="7DA311A9">
        <w:t>al of</w:t>
      </w:r>
      <w:r w:rsidRPr="00E63DEE">
        <w:t xml:space="preserve"> $100</w:t>
      </w:r>
      <w:r w:rsidR="768496D4">
        <w:t xml:space="preserve"> per month</w:t>
      </w:r>
      <w:r w:rsidR="26C41709">
        <w:t>)</w:t>
      </w:r>
      <w:r>
        <w:t>.</w:t>
      </w:r>
      <w:r w:rsidRPr="00E63DEE">
        <w:t xml:space="preserve"> Net savings begin in 2027-28 and are projected to reach $675 million annually.</w:t>
      </w:r>
    </w:p>
    <w:p w14:paraId="55BD2B3A" w14:textId="77777777" w:rsidR="00E63DEE" w:rsidRPr="00E63DEE" w:rsidRDefault="00E63DEE" w:rsidP="00063CA7">
      <w:pPr>
        <w:numPr>
          <w:ilvl w:val="0"/>
          <w:numId w:val="1"/>
        </w:numPr>
        <w:spacing w:after="0" w:line="276" w:lineRule="auto"/>
      </w:pPr>
      <w:r w:rsidRPr="00E63DEE">
        <w:rPr>
          <w:b/>
          <w:bCs/>
        </w:rPr>
        <w:lastRenderedPageBreak/>
        <w:t>Prescription Drug Rebates and Exclusions</w:t>
      </w:r>
      <w:r w:rsidRPr="00E63DEE">
        <w:t>: The budget adjusts the prescription drug rebate aggregator to include undocumented populations, generating $370 million in 2025-26. Additionally, coverage for specialty weight loss drugs will be excluded from Medi-Cal, resulting in savings reaching $680 million by 2028-29.</w:t>
      </w:r>
    </w:p>
    <w:p w14:paraId="463379DB" w14:textId="77777777" w:rsidR="00E63DEE" w:rsidRDefault="00E63DEE" w:rsidP="00063CA7">
      <w:pPr>
        <w:spacing w:after="0" w:line="276" w:lineRule="auto"/>
        <w:rPr>
          <w:b/>
          <w:bCs/>
        </w:rPr>
      </w:pPr>
    </w:p>
    <w:p w14:paraId="55302929" w14:textId="0B07D2ED" w:rsidR="00E63DEE" w:rsidRDefault="00E63DEE" w:rsidP="00063CA7">
      <w:pPr>
        <w:pStyle w:val="Style1"/>
        <w:spacing w:before="0" w:after="0" w:line="276" w:lineRule="auto"/>
      </w:pPr>
      <w:r w:rsidRPr="00E63DEE">
        <w:t>Delays and Preserved Funding</w:t>
      </w:r>
    </w:p>
    <w:p w14:paraId="4F1192B8" w14:textId="7BFDDA3C" w:rsidR="00203B00" w:rsidRPr="00203B00" w:rsidRDefault="00D34113" w:rsidP="00063CA7">
      <w:pPr>
        <w:numPr>
          <w:ilvl w:val="0"/>
          <w:numId w:val="2"/>
        </w:numPr>
        <w:spacing w:after="0" w:line="276" w:lineRule="auto"/>
      </w:pPr>
      <w:r>
        <w:rPr>
          <w:b/>
          <w:bCs/>
        </w:rPr>
        <w:t xml:space="preserve">Delay </w:t>
      </w:r>
      <w:r w:rsidR="00203B00">
        <w:rPr>
          <w:b/>
          <w:bCs/>
        </w:rPr>
        <w:t>Repaying</w:t>
      </w:r>
      <w:r w:rsidR="00203B00" w:rsidRPr="00B77469">
        <w:rPr>
          <w:b/>
          <w:bCs/>
        </w:rPr>
        <w:t xml:space="preserve"> </w:t>
      </w:r>
      <w:r w:rsidR="00216EFC">
        <w:rPr>
          <w:b/>
          <w:bCs/>
        </w:rPr>
        <w:t>Current Year Medi-Cal</w:t>
      </w:r>
      <w:r w:rsidR="00203B00">
        <w:rPr>
          <w:b/>
          <w:bCs/>
        </w:rPr>
        <w:t xml:space="preserve"> </w:t>
      </w:r>
      <w:r w:rsidR="0044779F">
        <w:rPr>
          <w:b/>
          <w:bCs/>
        </w:rPr>
        <w:t>Overage</w:t>
      </w:r>
      <w:r w:rsidR="0044779F" w:rsidRPr="0044779F">
        <w:t xml:space="preserve">: </w:t>
      </w:r>
      <w:r w:rsidR="001B3341">
        <w:t>The final budget agreement</w:t>
      </w:r>
      <w:r w:rsidR="00203B00">
        <w:t xml:space="preserve"> </w:t>
      </w:r>
      <w:r w:rsidR="00473414">
        <w:t>in</w:t>
      </w:r>
      <w:r w:rsidR="00F33A3F">
        <w:t>cludes the delay of</w:t>
      </w:r>
      <w:r w:rsidR="00203B00" w:rsidRPr="0044779F">
        <w:t xml:space="preserve"> </w:t>
      </w:r>
      <w:r w:rsidR="00683DDF">
        <w:t>a</w:t>
      </w:r>
      <w:r w:rsidR="00203B00" w:rsidRPr="0044779F">
        <w:t xml:space="preserve"> loan </w:t>
      </w:r>
      <w:r w:rsidR="00683DDF">
        <w:t>re</w:t>
      </w:r>
      <w:r w:rsidR="00203B00" w:rsidRPr="0044779F">
        <w:t xml:space="preserve">payment </w:t>
      </w:r>
      <w:r w:rsidR="00683DDF">
        <w:t>to cover 2024</w:t>
      </w:r>
      <w:r w:rsidR="00E7661F">
        <w:t>-25 Medi-Cal costs</w:t>
      </w:r>
      <w:r w:rsidR="00203B00" w:rsidRPr="0044779F">
        <w:t>.</w:t>
      </w:r>
      <w:r w:rsidR="001B3341">
        <w:t xml:space="preserve"> This loan </w:t>
      </w:r>
      <w:r w:rsidR="00E96290">
        <w:t xml:space="preserve">totals $4.4 billion and </w:t>
      </w:r>
      <w:r w:rsidR="001B3341">
        <w:t xml:space="preserve">is assumed to be repaid in 2034. </w:t>
      </w:r>
    </w:p>
    <w:p w14:paraId="7FF95F15" w14:textId="313EF953" w:rsidR="001F7622" w:rsidRPr="00E63DEE" w:rsidRDefault="00E63DEE" w:rsidP="00063CA7">
      <w:pPr>
        <w:numPr>
          <w:ilvl w:val="0"/>
          <w:numId w:val="2"/>
        </w:numPr>
        <w:spacing w:after="0" w:line="276" w:lineRule="auto"/>
      </w:pPr>
      <w:r w:rsidRPr="00E63DEE">
        <w:rPr>
          <w:b/>
          <w:bCs/>
        </w:rPr>
        <w:t>Proposition 56 Supplemental Payments</w:t>
      </w:r>
      <w:r w:rsidRPr="00E63DEE">
        <w:t xml:space="preserve">: The final budget rejects the elimination of $172 million in </w:t>
      </w:r>
      <w:r>
        <w:t>Prop</w:t>
      </w:r>
      <w:r w:rsidR="21C81860">
        <w:t>osition</w:t>
      </w:r>
      <w:r w:rsidRPr="00E63DEE">
        <w:t xml:space="preserve"> 56 payments for family planning and women’s health services, and delays cuts to dental supplemental payments and benefits for undocumented individuals until July 1, 2026.</w:t>
      </w:r>
    </w:p>
    <w:p w14:paraId="4C73E554" w14:textId="1B1D5910" w:rsidR="001F7622" w:rsidRPr="00E63DEE" w:rsidRDefault="00E63DEE" w:rsidP="00063CA7">
      <w:pPr>
        <w:numPr>
          <w:ilvl w:val="0"/>
          <w:numId w:val="2"/>
        </w:numPr>
        <w:spacing w:after="0" w:line="276" w:lineRule="auto"/>
      </w:pPr>
      <w:r w:rsidRPr="00E63DEE">
        <w:rPr>
          <w:b/>
          <w:bCs/>
        </w:rPr>
        <w:t>Health Centers and Clinics</w:t>
      </w:r>
      <w:r w:rsidRPr="00E63DEE">
        <w:t xml:space="preserve">: </w:t>
      </w:r>
      <w:r w:rsidR="00425753">
        <w:t>Reductions</w:t>
      </w:r>
      <w:r w:rsidRPr="00E63DEE">
        <w:t xml:space="preserve"> to health centers and rural health clinics totaling $1.1 billion annually are delayed until July 1, 2026.</w:t>
      </w:r>
    </w:p>
    <w:p w14:paraId="76EBF31F" w14:textId="6A01F0E1" w:rsidR="00E63DEE" w:rsidRPr="00E63DEE" w:rsidRDefault="00E63DEE" w:rsidP="00063CA7">
      <w:pPr>
        <w:numPr>
          <w:ilvl w:val="0"/>
          <w:numId w:val="2"/>
        </w:numPr>
        <w:spacing w:after="0" w:line="276" w:lineRule="auto"/>
      </w:pPr>
      <w:r w:rsidRPr="00E63DEE">
        <w:rPr>
          <w:b/>
          <w:bCs/>
        </w:rPr>
        <w:t>Public Health Investments Preserved</w:t>
      </w:r>
      <w:r w:rsidRPr="00E63DEE">
        <w:t xml:space="preserve">: The Legislature rejected nearly $60 million in proposed cuts to public health initiatives, including LGBTQ+ health equity, reproductive health, </w:t>
      </w:r>
      <w:r w:rsidR="1E5A45AA">
        <w:t>sexually transmitted disease</w:t>
      </w:r>
      <w:r w:rsidRPr="00E63DEE">
        <w:t xml:space="preserve"> prevention, and public health workforce programs.</w:t>
      </w:r>
    </w:p>
    <w:p w14:paraId="42AC95B4" w14:textId="77777777" w:rsidR="00E63DEE" w:rsidRDefault="00E63DEE" w:rsidP="00063CA7">
      <w:pPr>
        <w:spacing w:after="0" w:line="276" w:lineRule="auto"/>
        <w:rPr>
          <w:b/>
          <w:bCs/>
        </w:rPr>
      </w:pPr>
    </w:p>
    <w:p w14:paraId="45C871DB" w14:textId="77777777" w:rsidR="00B060DF" w:rsidRDefault="00B060DF" w:rsidP="00063CA7">
      <w:pPr>
        <w:pStyle w:val="Style1"/>
        <w:spacing w:before="0" w:after="0" w:line="276" w:lineRule="auto"/>
      </w:pPr>
      <w:r w:rsidRPr="00B060DF">
        <w:t>Other Important Proposals</w:t>
      </w:r>
    </w:p>
    <w:p w14:paraId="69DCA22A" w14:textId="08EF5F63" w:rsidR="00716969" w:rsidRPr="00063CA7" w:rsidRDefault="00B060DF" w:rsidP="00063CA7">
      <w:pPr>
        <w:numPr>
          <w:ilvl w:val="0"/>
          <w:numId w:val="4"/>
        </w:numPr>
        <w:spacing w:after="0" w:line="276" w:lineRule="auto"/>
        <w:rPr>
          <w:b/>
          <w:bCs/>
        </w:rPr>
      </w:pPr>
      <w:r w:rsidRPr="00B060DF">
        <w:rPr>
          <w:b/>
          <w:bCs/>
        </w:rPr>
        <w:t xml:space="preserve">Diaper Initiative: </w:t>
      </w:r>
      <w:r w:rsidRPr="00B060DF">
        <w:t>The budget agreement includes the governor’s</w:t>
      </w:r>
      <w:r w:rsidR="003803BC">
        <w:t xml:space="preserve"> $7.4 million</w:t>
      </w:r>
      <w:r w:rsidRPr="00B060DF">
        <w:t xml:space="preserve"> diaper initiative</w:t>
      </w:r>
      <w:r w:rsidR="2D57D630">
        <w:t xml:space="preserve">, </w:t>
      </w:r>
      <w:r w:rsidRPr="00B060DF">
        <w:t xml:space="preserve">as well as a separate </w:t>
      </w:r>
      <w:r w:rsidR="00C8401D">
        <w:t xml:space="preserve">equivalent </w:t>
      </w:r>
      <w:r w:rsidRPr="00B060DF">
        <w:t>augmentation for diaper banks. Distribution pathways, including around hospitals’ potential role, will continue to be developed as the Department of Health Care Access and Information implements the program.</w:t>
      </w:r>
    </w:p>
    <w:p w14:paraId="4BD77E7A" w14:textId="77793F12" w:rsidR="00B060DF" w:rsidRPr="00B060DF" w:rsidRDefault="002868A4" w:rsidP="00063CA7">
      <w:pPr>
        <w:numPr>
          <w:ilvl w:val="0"/>
          <w:numId w:val="4"/>
        </w:numPr>
        <w:spacing w:after="0" w:line="276" w:lineRule="auto"/>
        <w:rPr>
          <w:b/>
          <w:bCs/>
        </w:rPr>
      </w:pPr>
      <w:r>
        <w:rPr>
          <w:b/>
          <w:bCs/>
        </w:rPr>
        <w:t xml:space="preserve">Pharmacy Benefit Manager Licensure: </w:t>
      </w:r>
      <w:r w:rsidR="002C201B">
        <w:t xml:space="preserve">The budget includes </w:t>
      </w:r>
      <w:r w:rsidR="00A07D9E">
        <w:t xml:space="preserve">statutory changes requiring pharmacy benefit managers contracting with health plans or insurers to </w:t>
      </w:r>
      <w:r w:rsidR="007A69CC">
        <w:t xml:space="preserve">obtain licensure from the Department of Managed Health Care. </w:t>
      </w:r>
    </w:p>
    <w:p w14:paraId="0BF91F76" w14:textId="77777777" w:rsidR="00063CA7" w:rsidRDefault="00063CA7" w:rsidP="00063CA7">
      <w:pPr>
        <w:pStyle w:val="Heading2"/>
        <w:spacing w:before="0" w:after="0" w:line="276" w:lineRule="auto"/>
      </w:pPr>
    </w:p>
    <w:p w14:paraId="42D4CE53" w14:textId="6E7B51AC" w:rsidR="00E63DEE" w:rsidRDefault="00E63DEE" w:rsidP="00063CA7">
      <w:pPr>
        <w:pStyle w:val="Heading2"/>
        <w:spacing w:before="0" w:after="0" w:line="276" w:lineRule="auto"/>
      </w:pPr>
      <w:r w:rsidRPr="00E63DEE">
        <w:t>Future Policy Development</w:t>
      </w:r>
    </w:p>
    <w:p w14:paraId="6D17483C" w14:textId="2E9A4A82" w:rsidR="00E63DEE" w:rsidRPr="00E63DEE" w:rsidRDefault="00E63DEE" w:rsidP="00063CA7">
      <w:pPr>
        <w:spacing w:after="0" w:line="276" w:lineRule="auto"/>
      </w:pPr>
      <w:r w:rsidRPr="00E63DEE">
        <w:t xml:space="preserve">The Senate </w:t>
      </w:r>
      <w:r w:rsidR="00E84CFD">
        <w:t>has indicated that it</w:t>
      </w:r>
      <w:r w:rsidRPr="00E63DEE">
        <w:t xml:space="preserve"> will begin work on a new policy to require large employers whose workers are enrolled in Medi-Cal to contribute to the cost of that coverage. This policy is not yet finalized and would require future legislation and budget action.</w:t>
      </w:r>
    </w:p>
    <w:sectPr w:rsidR="00E63DEE" w:rsidRPr="00E63DEE" w:rsidSect="00063CA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F0839" w14:textId="77777777" w:rsidR="00063CA7" w:rsidRDefault="00063CA7" w:rsidP="00063CA7">
      <w:pPr>
        <w:spacing w:after="0" w:line="240" w:lineRule="auto"/>
      </w:pPr>
      <w:r>
        <w:separator/>
      </w:r>
    </w:p>
  </w:endnote>
  <w:endnote w:type="continuationSeparator" w:id="0">
    <w:p w14:paraId="79C5C2E2" w14:textId="77777777" w:rsidR="00063CA7" w:rsidRDefault="00063CA7" w:rsidP="0006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1727" w14:textId="7F64CEEC" w:rsidR="00063CA7" w:rsidRDefault="00063CA7">
    <w:pPr>
      <w:pStyle w:val="Footer"/>
    </w:pPr>
    <w:r>
      <w:rPr>
        <w:noProof/>
      </w:rPr>
      <w:drawing>
        <wp:inline distT="0" distB="0" distL="0" distR="0" wp14:anchorId="59632759" wp14:editId="5AE2D725">
          <wp:extent cx="5943600" cy="4245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24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04FA" w14:textId="4B64800E" w:rsidR="00063CA7" w:rsidRDefault="00063CA7">
    <w:pPr>
      <w:pStyle w:val="Footer"/>
    </w:pPr>
    <w:r>
      <w:rPr>
        <w:noProof/>
      </w:rPr>
      <w:drawing>
        <wp:inline distT="0" distB="0" distL="0" distR="0" wp14:anchorId="69917C37" wp14:editId="47A759CF">
          <wp:extent cx="5943600" cy="424543"/>
          <wp:effectExtent l="0" t="0" r="0" b="0"/>
          <wp:docPr id="45773371" name="Picture 45773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24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ED41F" w14:textId="77777777" w:rsidR="00063CA7" w:rsidRDefault="00063CA7" w:rsidP="00063CA7">
      <w:pPr>
        <w:spacing w:after="0" w:line="240" w:lineRule="auto"/>
      </w:pPr>
      <w:r>
        <w:separator/>
      </w:r>
    </w:p>
  </w:footnote>
  <w:footnote w:type="continuationSeparator" w:id="0">
    <w:p w14:paraId="3D65E733" w14:textId="77777777" w:rsidR="00063CA7" w:rsidRDefault="00063CA7" w:rsidP="0006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2B67" w14:textId="367962F8" w:rsidR="00063CA7" w:rsidRDefault="00063CA7">
    <w:pPr>
      <w:pStyle w:val="Header"/>
    </w:pPr>
    <w:r w:rsidRPr="00063CA7">
      <w:t>Summary of 2025-26 Budget Agreement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02E3" w14:textId="62406F86" w:rsidR="00063CA7" w:rsidRDefault="00063CA7">
    <w:pPr>
      <w:pStyle w:val="Header"/>
    </w:pPr>
    <w:r>
      <w:rPr>
        <w:noProof/>
      </w:rPr>
      <w:drawing>
        <wp:inline distT="0" distB="0" distL="0" distR="0" wp14:anchorId="493C692E" wp14:editId="2D9BDBC2">
          <wp:extent cx="6400800" cy="1422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22D"/>
    <w:multiLevelType w:val="multilevel"/>
    <w:tmpl w:val="AF3A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D3172"/>
    <w:multiLevelType w:val="hybridMultilevel"/>
    <w:tmpl w:val="323A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20DD3"/>
    <w:multiLevelType w:val="hybridMultilevel"/>
    <w:tmpl w:val="263C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4322F"/>
    <w:multiLevelType w:val="multilevel"/>
    <w:tmpl w:val="D98C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323763">
    <w:abstractNumId w:val="0"/>
  </w:num>
  <w:num w:numId="2" w16cid:durableId="839462535">
    <w:abstractNumId w:val="3"/>
  </w:num>
  <w:num w:numId="3" w16cid:durableId="2134205273">
    <w:abstractNumId w:val="1"/>
  </w:num>
  <w:num w:numId="4" w16cid:durableId="70205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EE"/>
    <w:rsid w:val="00014257"/>
    <w:rsid w:val="000147E0"/>
    <w:rsid w:val="00037F69"/>
    <w:rsid w:val="00044E98"/>
    <w:rsid w:val="000567EC"/>
    <w:rsid w:val="00063CA7"/>
    <w:rsid w:val="00067F0C"/>
    <w:rsid w:val="0008011B"/>
    <w:rsid w:val="000867BA"/>
    <w:rsid w:val="00096A7A"/>
    <w:rsid w:val="000A54CB"/>
    <w:rsid w:val="000A5619"/>
    <w:rsid w:val="000B2E8F"/>
    <w:rsid w:val="000B3A78"/>
    <w:rsid w:val="000C1392"/>
    <w:rsid w:val="000C3A8E"/>
    <w:rsid w:val="000C4167"/>
    <w:rsid w:val="000D3375"/>
    <w:rsid w:val="000D357D"/>
    <w:rsid w:val="000D615E"/>
    <w:rsid w:val="000F03F6"/>
    <w:rsid w:val="000F42B4"/>
    <w:rsid w:val="001017C0"/>
    <w:rsid w:val="0010238B"/>
    <w:rsid w:val="00121B8C"/>
    <w:rsid w:val="00123328"/>
    <w:rsid w:val="00126EAA"/>
    <w:rsid w:val="00132025"/>
    <w:rsid w:val="00133AB9"/>
    <w:rsid w:val="0014271B"/>
    <w:rsid w:val="00142EE2"/>
    <w:rsid w:val="00153819"/>
    <w:rsid w:val="00157715"/>
    <w:rsid w:val="00165020"/>
    <w:rsid w:val="00171795"/>
    <w:rsid w:val="0018055F"/>
    <w:rsid w:val="00180C1C"/>
    <w:rsid w:val="00181C12"/>
    <w:rsid w:val="0018255B"/>
    <w:rsid w:val="00183471"/>
    <w:rsid w:val="0018583A"/>
    <w:rsid w:val="001963A0"/>
    <w:rsid w:val="001975BC"/>
    <w:rsid w:val="001A0A50"/>
    <w:rsid w:val="001A10D5"/>
    <w:rsid w:val="001A50C2"/>
    <w:rsid w:val="001B3341"/>
    <w:rsid w:val="001B4AC4"/>
    <w:rsid w:val="001B6EC3"/>
    <w:rsid w:val="001C11B7"/>
    <w:rsid w:val="001C64E2"/>
    <w:rsid w:val="001D00BB"/>
    <w:rsid w:val="001E10D6"/>
    <w:rsid w:val="001E6439"/>
    <w:rsid w:val="001E6C76"/>
    <w:rsid w:val="001F7622"/>
    <w:rsid w:val="00203B00"/>
    <w:rsid w:val="00205516"/>
    <w:rsid w:val="00212C30"/>
    <w:rsid w:val="00216D9E"/>
    <w:rsid w:val="00216EFC"/>
    <w:rsid w:val="00217D38"/>
    <w:rsid w:val="00225440"/>
    <w:rsid w:val="002453DD"/>
    <w:rsid w:val="00253B01"/>
    <w:rsid w:val="002810F4"/>
    <w:rsid w:val="002868A4"/>
    <w:rsid w:val="002B4D5D"/>
    <w:rsid w:val="002B6E83"/>
    <w:rsid w:val="002C138A"/>
    <w:rsid w:val="002C201B"/>
    <w:rsid w:val="002C551F"/>
    <w:rsid w:val="002C77C9"/>
    <w:rsid w:val="002D7333"/>
    <w:rsid w:val="002E3846"/>
    <w:rsid w:val="002E5421"/>
    <w:rsid w:val="002F7220"/>
    <w:rsid w:val="00302962"/>
    <w:rsid w:val="0031099A"/>
    <w:rsid w:val="00310F9B"/>
    <w:rsid w:val="00315051"/>
    <w:rsid w:val="00316192"/>
    <w:rsid w:val="003265FC"/>
    <w:rsid w:val="0033348A"/>
    <w:rsid w:val="003346D3"/>
    <w:rsid w:val="0034148D"/>
    <w:rsid w:val="00343834"/>
    <w:rsid w:val="00352D84"/>
    <w:rsid w:val="0035744C"/>
    <w:rsid w:val="00357DBC"/>
    <w:rsid w:val="00370276"/>
    <w:rsid w:val="0037275E"/>
    <w:rsid w:val="00375540"/>
    <w:rsid w:val="003803BC"/>
    <w:rsid w:val="0038268D"/>
    <w:rsid w:val="003A1073"/>
    <w:rsid w:val="003B49F5"/>
    <w:rsid w:val="003C18B7"/>
    <w:rsid w:val="003C62E3"/>
    <w:rsid w:val="003D6104"/>
    <w:rsid w:val="003F1B01"/>
    <w:rsid w:val="003F4F54"/>
    <w:rsid w:val="004044E2"/>
    <w:rsid w:val="0041464F"/>
    <w:rsid w:val="00420CEB"/>
    <w:rsid w:val="0042356A"/>
    <w:rsid w:val="00425737"/>
    <w:rsid w:val="00425753"/>
    <w:rsid w:val="0044779F"/>
    <w:rsid w:val="004574B8"/>
    <w:rsid w:val="0046312C"/>
    <w:rsid w:val="00473414"/>
    <w:rsid w:val="00477560"/>
    <w:rsid w:val="00491F91"/>
    <w:rsid w:val="004A5863"/>
    <w:rsid w:val="004B0272"/>
    <w:rsid w:val="004B5A68"/>
    <w:rsid w:val="004C0438"/>
    <w:rsid w:val="004C4E72"/>
    <w:rsid w:val="004D3B93"/>
    <w:rsid w:val="004D4BF3"/>
    <w:rsid w:val="004E105B"/>
    <w:rsid w:val="004E1670"/>
    <w:rsid w:val="004F05E7"/>
    <w:rsid w:val="004F73D6"/>
    <w:rsid w:val="00502772"/>
    <w:rsid w:val="0050302E"/>
    <w:rsid w:val="00504E06"/>
    <w:rsid w:val="005169A6"/>
    <w:rsid w:val="0053743D"/>
    <w:rsid w:val="005431E9"/>
    <w:rsid w:val="00545B5A"/>
    <w:rsid w:val="00546C44"/>
    <w:rsid w:val="005475B6"/>
    <w:rsid w:val="005552E0"/>
    <w:rsid w:val="00556C83"/>
    <w:rsid w:val="005617E3"/>
    <w:rsid w:val="005652F6"/>
    <w:rsid w:val="00567463"/>
    <w:rsid w:val="00573B00"/>
    <w:rsid w:val="00593E09"/>
    <w:rsid w:val="005A7045"/>
    <w:rsid w:val="005B0371"/>
    <w:rsid w:val="005B1981"/>
    <w:rsid w:val="005B3D90"/>
    <w:rsid w:val="005C0267"/>
    <w:rsid w:val="005C3F9A"/>
    <w:rsid w:val="005D5704"/>
    <w:rsid w:val="005F11B5"/>
    <w:rsid w:val="005F2FE9"/>
    <w:rsid w:val="005F3982"/>
    <w:rsid w:val="00602FEE"/>
    <w:rsid w:val="006131D2"/>
    <w:rsid w:val="00616731"/>
    <w:rsid w:val="00634223"/>
    <w:rsid w:val="006405E4"/>
    <w:rsid w:val="006446D2"/>
    <w:rsid w:val="0064478A"/>
    <w:rsid w:val="006522F7"/>
    <w:rsid w:val="0067526F"/>
    <w:rsid w:val="006775A7"/>
    <w:rsid w:val="00680091"/>
    <w:rsid w:val="00683DDF"/>
    <w:rsid w:val="00690B8E"/>
    <w:rsid w:val="00694CD4"/>
    <w:rsid w:val="006B3FF1"/>
    <w:rsid w:val="006B5B6B"/>
    <w:rsid w:val="006B75E4"/>
    <w:rsid w:val="006C2720"/>
    <w:rsid w:val="006D0B99"/>
    <w:rsid w:val="006D2D3E"/>
    <w:rsid w:val="006D30CA"/>
    <w:rsid w:val="006D6D50"/>
    <w:rsid w:val="006D75F8"/>
    <w:rsid w:val="006E0B05"/>
    <w:rsid w:val="006E3FA6"/>
    <w:rsid w:val="006E7CDA"/>
    <w:rsid w:val="006F2AFB"/>
    <w:rsid w:val="00707ADB"/>
    <w:rsid w:val="00716969"/>
    <w:rsid w:val="00726A03"/>
    <w:rsid w:val="00742122"/>
    <w:rsid w:val="00753556"/>
    <w:rsid w:val="00763016"/>
    <w:rsid w:val="00773405"/>
    <w:rsid w:val="00775EF5"/>
    <w:rsid w:val="00782340"/>
    <w:rsid w:val="007842FF"/>
    <w:rsid w:val="0079399E"/>
    <w:rsid w:val="007A04DD"/>
    <w:rsid w:val="007A3959"/>
    <w:rsid w:val="007A69CC"/>
    <w:rsid w:val="007D3900"/>
    <w:rsid w:val="007D4660"/>
    <w:rsid w:val="007E5FB1"/>
    <w:rsid w:val="007F7CF7"/>
    <w:rsid w:val="00804D62"/>
    <w:rsid w:val="0081344A"/>
    <w:rsid w:val="00827BEE"/>
    <w:rsid w:val="00827D8B"/>
    <w:rsid w:val="00844B94"/>
    <w:rsid w:val="008554F3"/>
    <w:rsid w:val="0087583B"/>
    <w:rsid w:val="008847E4"/>
    <w:rsid w:val="008B7613"/>
    <w:rsid w:val="008E1C20"/>
    <w:rsid w:val="008E1E70"/>
    <w:rsid w:val="008E2F23"/>
    <w:rsid w:val="008F55E1"/>
    <w:rsid w:val="00902243"/>
    <w:rsid w:val="009258D1"/>
    <w:rsid w:val="009263C1"/>
    <w:rsid w:val="00937723"/>
    <w:rsid w:val="00946400"/>
    <w:rsid w:val="00946B04"/>
    <w:rsid w:val="00947E2E"/>
    <w:rsid w:val="009643F2"/>
    <w:rsid w:val="00964F3E"/>
    <w:rsid w:val="00966CC8"/>
    <w:rsid w:val="00972F00"/>
    <w:rsid w:val="00987ECC"/>
    <w:rsid w:val="00993B9B"/>
    <w:rsid w:val="009A19FF"/>
    <w:rsid w:val="009A3875"/>
    <w:rsid w:val="009A436D"/>
    <w:rsid w:val="009B0CD5"/>
    <w:rsid w:val="009B26D4"/>
    <w:rsid w:val="009B3A31"/>
    <w:rsid w:val="009B68BB"/>
    <w:rsid w:val="009C0BAC"/>
    <w:rsid w:val="009C3ECC"/>
    <w:rsid w:val="009C3FEA"/>
    <w:rsid w:val="009F0FDE"/>
    <w:rsid w:val="009F3F49"/>
    <w:rsid w:val="00A00FB2"/>
    <w:rsid w:val="00A07D9E"/>
    <w:rsid w:val="00A15D51"/>
    <w:rsid w:val="00A208BE"/>
    <w:rsid w:val="00A2468D"/>
    <w:rsid w:val="00A35F3F"/>
    <w:rsid w:val="00A54BA2"/>
    <w:rsid w:val="00A568E1"/>
    <w:rsid w:val="00A647B0"/>
    <w:rsid w:val="00A66FE8"/>
    <w:rsid w:val="00A76BEF"/>
    <w:rsid w:val="00A8069A"/>
    <w:rsid w:val="00A85C3F"/>
    <w:rsid w:val="00AA23AC"/>
    <w:rsid w:val="00AA3709"/>
    <w:rsid w:val="00AA6829"/>
    <w:rsid w:val="00AA7030"/>
    <w:rsid w:val="00AA7619"/>
    <w:rsid w:val="00AA7780"/>
    <w:rsid w:val="00AC478A"/>
    <w:rsid w:val="00AC523B"/>
    <w:rsid w:val="00AC7617"/>
    <w:rsid w:val="00AF53B7"/>
    <w:rsid w:val="00B031FB"/>
    <w:rsid w:val="00B060DF"/>
    <w:rsid w:val="00B20C17"/>
    <w:rsid w:val="00B27405"/>
    <w:rsid w:val="00B3065F"/>
    <w:rsid w:val="00B31A65"/>
    <w:rsid w:val="00B47D12"/>
    <w:rsid w:val="00B52693"/>
    <w:rsid w:val="00B54EF3"/>
    <w:rsid w:val="00B65055"/>
    <w:rsid w:val="00B677C3"/>
    <w:rsid w:val="00B724D1"/>
    <w:rsid w:val="00B77469"/>
    <w:rsid w:val="00B875BE"/>
    <w:rsid w:val="00B972D2"/>
    <w:rsid w:val="00BA48BE"/>
    <w:rsid w:val="00BB79EC"/>
    <w:rsid w:val="00BC0AA3"/>
    <w:rsid w:val="00BC4213"/>
    <w:rsid w:val="00BD2886"/>
    <w:rsid w:val="00BF0181"/>
    <w:rsid w:val="00BF2AF1"/>
    <w:rsid w:val="00C050CD"/>
    <w:rsid w:val="00C101A4"/>
    <w:rsid w:val="00C178C2"/>
    <w:rsid w:val="00C22BF1"/>
    <w:rsid w:val="00C2441B"/>
    <w:rsid w:val="00C32896"/>
    <w:rsid w:val="00C35D62"/>
    <w:rsid w:val="00C41BBD"/>
    <w:rsid w:val="00C44C12"/>
    <w:rsid w:val="00C649E1"/>
    <w:rsid w:val="00C72E72"/>
    <w:rsid w:val="00C8401D"/>
    <w:rsid w:val="00C85525"/>
    <w:rsid w:val="00CA5238"/>
    <w:rsid w:val="00CA66A6"/>
    <w:rsid w:val="00CB0263"/>
    <w:rsid w:val="00CB4236"/>
    <w:rsid w:val="00CB755E"/>
    <w:rsid w:val="00CC0B2B"/>
    <w:rsid w:val="00CC7F2C"/>
    <w:rsid w:val="00CD0BE2"/>
    <w:rsid w:val="00CD2CBF"/>
    <w:rsid w:val="00CD5398"/>
    <w:rsid w:val="00CE377D"/>
    <w:rsid w:val="00CF2F5D"/>
    <w:rsid w:val="00CF3097"/>
    <w:rsid w:val="00D019D2"/>
    <w:rsid w:val="00D0304F"/>
    <w:rsid w:val="00D203B6"/>
    <w:rsid w:val="00D30C1C"/>
    <w:rsid w:val="00D34113"/>
    <w:rsid w:val="00D37D28"/>
    <w:rsid w:val="00D509B9"/>
    <w:rsid w:val="00D565D0"/>
    <w:rsid w:val="00D60035"/>
    <w:rsid w:val="00D639AF"/>
    <w:rsid w:val="00D73AA6"/>
    <w:rsid w:val="00D815E5"/>
    <w:rsid w:val="00D926C8"/>
    <w:rsid w:val="00DA2049"/>
    <w:rsid w:val="00DA5732"/>
    <w:rsid w:val="00DB18D7"/>
    <w:rsid w:val="00DB3AF1"/>
    <w:rsid w:val="00DC0234"/>
    <w:rsid w:val="00DD3084"/>
    <w:rsid w:val="00DD7F44"/>
    <w:rsid w:val="00DE08E9"/>
    <w:rsid w:val="00DF4695"/>
    <w:rsid w:val="00E056A0"/>
    <w:rsid w:val="00E20E65"/>
    <w:rsid w:val="00E269A6"/>
    <w:rsid w:val="00E34039"/>
    <w:rsid w:val="00E36FE7"/>
    <w:rsid w:val="00E412A9"/>
    <w:rsid w:val="00E52C98"/>
    <w:rsid w:val="00E63DEE"/>
    <w:rsid w:val="00E65519"/>
    <w:rsid w:val="00E67ED5"/>
    <w:rsid w:val="00E71255"/>
    <w:rsid w:val="00E74733"/>
    <w:rsid w:val="00E7661F"/>
    <w:rsid w:val="00E80FE2"/>
    <w:rsid w:val="00E84CFD"/>
    <w:rsid w:val="00E92094"/>
    <w:rsid w:val="00E96290"/>
    <w:rsid w:val="00E96A67"/>
    <w:rsid w:val="00EB6F44"/>
    <w:rsid w:val="00EC3080"/>
    <w:rsid w:val="00EC6D1D"/>
    <w:rsid w:val="00ED534E"/>
    <w:rsid w:val="00EF01B1"/>
    <w:rsid w:val="00EF6EB4"/>
    <w:rsid w:val="00F07F05"/>
    <w:rsid w:val="00F27AF8"/>
    <w:rsid w:val="00F32573"/>
    <w:rsid w:val="00F33A3F"/>
    <w:rsid w:val="00F42344"/>
    <w:rsid w:val="00F5098C"/>
    <w:rsid w:val="00F64838"/>
    <w:rsid w:val="00F71481"/>
    <w:rsid w:val="00F748F7"/>
    <w:rsid w:val="00F9245D"/>
    <w:rsid w:val="00F94010"/>
    <w:rsid w:val="00F957D4"/>
    <w:rsid w:val="00F96A44"/>
    <w:rsid w:val="00FA508A"/>
    <w:rsid w:val="00FB15E3"/>
    <w:rsid w:val="00FB479F"/>
    <w:rsid w:val="00FB4A8A"/>
    <w:rsid w:val="00FB6317"/>
    <w:rsid w:val="00FB6D8A"/>
    <w:rsid w:val="00FD07A8"/>
    <w:rsid w:val="00FD2513"/>
    <w:rsid w:val="00FE2D73"/>
    <w:rsid w:val="00FF28AF"/>
    <w:rsid w:val="0211B5D6"/>
    <w:rsid w:val="02347609"/>
    <w:rsid w:val="02E73807"/>
    <w:rsid w:val="032E4CA3"/>
    <w:rsid w:val="049DBC1A"/>
    <w:rsid w:val="059F1B83"/>
    <w:rsid w:val="05EF87EF"/>
    <w:rsid w:val="0718743D"/>
    <w:rsid w:val="080C901B"/>
    <w:rsid w:val="0A37A2DE"/>
    <w:rsid w:val="0A7E4FFB"/>
    <w:rsid w:val="0AA061C5"/>
    <w:rsid w:val="0AC9CACD"/>
    <w:rsid w:val="0ADF24A9"/>
    <w:rsid w:val="0C52036B"/>
    <w:rsid w:val="0E3AB786"/>
    <w:rsid w:val="0E65F6CC"/>
    <w:rsid w:val="10DDAEF6"/>
    <w:rsid w:val="10FCAF13"/>
    <w:rsid w:val="11256C55"/>
    <w:rsid w:val="11F90E06"/>
    <w:rsid w:val="13C53F4D"/>
    <w:rsid w:val="13F19CE3"/>
    <w:rsid w:val="1511CF54"/>
    <w:rsid w:val="15A79C26"/>
    <w:rsid w:val="15A9F707"/>
    <w:rsid w:val="16AC071D"/>
    <w:rsid w:val="17BA565D"/>
    <w:rsid w:val="18281B36"/>
    <w:rsid w:val="18451D4A"/>
    <w:rsid w:val="1927BC23"/>
    <w:rsid w:val="198489D9"/>
    <w:rsid w:val="1995D95F"/>
    <w:rsid w:val="19D5764E"/>
    <w:rsid w:val="1A5E6C67"/>
    <w:rsid w:val="1AA01047"/>
    <w:rsid w:val="1B71B09F"/>
    <w:rsid w:val="1B7C9C07"/>
    <w:rsid w:val="1B8C57B6"/>
    <w:rsid w:val="1E5A45AA"/>
    <w:rsid w:val="1E6D648B"/>
    <w:rsid w:val="202F26E3"/>
    <w:rsid w:val="20E0E7FC"/>
    <w:rsid w:val="20F6947C"/>
    <w:rsid w:val="212A60F8"/>
    <w:rsid w:val="21ABDFCE"/>
    <w:rsid w:val="21C81860"/>
    <w:rsid w:val="22462E9B"/>
    <w:rsid w:val="22F3CB4F"/>
    <w:rsid w:val="237A0BBA"/>
    <w:rsid w:val="23828A69"/>
    <w:rsid w:val="242BF536"/>
    <w:rsid w:val="2585A081"/>
    <w:rsid w:val="26B92B5A"/>
    <w:rsid w:val="26BC4E90"/>
    <w:rsid w:val="26C41709"/>
    <w:rsid w:val="2760D052"/>
    <w:rsid w:val="2937C683"/>
    <w:rsid w:val="2A102469"/>
    <w:rsid w:val="2D48ED5E"/>
    <w:rsid w:val="2D577D6A"/>
    <w:rsid w:val="2D57D630"/>
    <w:rsid w:val="2DC8665B"/>
    <w:rsid w:val="2EBD9FA2"/>
    <w:rsid w:val="2F699C5C"/>
    <w:rsid w:val="2FA525FA"/>
    <w:rsid w:val="2FD36761"/>
    <w:rsid w:val="300456D6"/>
    <w:rsid w:val="306C973F"/>
    <w:rsid w:val="317282C2"/>
    <w:rsid w:val="321A199C"/>
    <w:rsid w:val="326876EF"/>
    <w:rsid w:val="32EA48DE"/>
    <w:rsid w:val="32F789DB"/>
    <w:rsid w:val="35349CCC"/>
    <w:rsid w:val="359D1155"/>
    <w:rsid w:val="3736C1A1"/>
    <w:rsid w:val="375EB229"/>
    <w:rsid w:val="380292A1"/>
    <w:rsid w:val="3899CC41"/>
    <w:rsid w:val="3B348F19"/>
    <w:rsid w:val="3B606818"/>
    <w:rsid w:val="3D2413EA"/>
    <w:rsid w:val="3D958A32"/>
    <w:rsid w:val="3EA10A5C"/>
    <w:rsid w:val="3F5731E7"/>
    <w:rsid w:val="411AA849"/>
    <w:rsid w:val="423C47F9"/>
    <w:rsid w:val="42C845AB"/>
    <w:rsid w:val="431A58CC"/>
    <w:rsid w:val="44417FDB"/>
    <w:rsid w:val="44C2C1CE"/>
    <w:rsid w:val="4528E8C5"/>
    <w:rsid w:val="45F2BC9E"/>
    <w:rsid w:val="46D59C71"/>
    <w:rsid w:val="47ACAB9B"/>
    <w:rsid w:val="493BC2A7"/>
    <w:rsid w:val="4AC35E12"/>
    <w:rsid w:val="4C0C0516"/>
    <w:rsid w:val="4CAA6B0A"/>
    <w:rsid w:val="4D306D48"/>
    <w:rsid w:val="4DC8D4A6"/>
    <w:rsid w:val="4E016079"/>
    <w:rsid w:val="4E89093C"/>
    <w:rsid w:val="4F57479C"/>
    <w:rsid w:val="5133559E"/>
    <w:rsid w:val="5147FA02"/>
    <w:rsid w:val="525F864A"/>
    <w:rsid w:val="53764762"/>
    <w:rsid w:val="55BF257B"/>
    <w:rsid w:val="5656058D"/>
    <w:rsid w:val="5AB35570"/>
    <w:rsid w:val="5B3633E1"/>
    <w:rsid w:val="5BBA56CC"/>
    <w:rsid w:val="5BE9DC15"/>
    <w:rsid w:val="5E498287"/>
    <w:rsid w:val="5E8113B7"/>
    <w:rsid w:val="5FCED051"/>
    <w:rsid w:val="5FFB6516"/>
    <w:rsid w:val="601B7106"/>
    <w:rsid w:val="604032C3"/>
    <w:rsid w:val="6152F0CD"/>
    <w:rsid w:val="62513FCE"/>
    <w:rsid w:val="625CB8AA"/>
    <w:rsid w:val="62FDC373"/>
    <w:rsid w:val="63F4358B"/>
    <w:rsid w:val="6472BAA0"/>
    <w:rsid w:val="647DC6DD"/>
    <w:rsid w:val="653BA37D"/>
    <w:rsid w:val="67F28736"/>
    <w:rsid w:val="68C1D2D2"/>
    <w:rsid w:val="69794448"/>
    <w:rsid w:val="698125B8"/>
    <w:rsid w:val="69EE58FC"/>
    <w:rsid w:val="6AC05598"/>
    <w:rsid w:val="6C9C39C5"/>
    <w:rsid w:val="6C9F7EEF"/>
    <w:rsid w:val="6CF97CB7"/>
    <w:rsid w:val="6D144552"/>
    <w:rsid w:val="6E95BE7D"/>
    <w:rsid w:val="6FD6043B"/>
    <w:rsid w:val="712E4714"/>
    <w:rsid w:val="724D0714"/>
    <w:rsid w:val="73B653D0"/>
    <w:rsid w:val="768496D4"/>
    <w:rsid w:val="76AE9990"/>
    <w:rsid w:val="7AC32838"/>
    <w:rsid w:val="7C54819F"/>
    <w:rsid w:val="7DA311A9"/>
    <w:rsid w:val="7DAC7B41"/>
    <w:rsid w:val="7DFBD4AA"/>
    <w:rsid w:val="7ED973ED"/>
    <w:rsid w:val="7F0D282A"/>
    <w:rsid w:val="7FA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A8DC"/>
  <w15:chartTrackingRefBased/>
  <w15:docId w15:val="{EAC93364-6C5A-4B56-9024-0BA4C00B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aford" w:eastAsiaTheme="minorHAnsi" w:hAnsi="Seaford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D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D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D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D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D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D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D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3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3D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D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D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D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D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D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D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D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D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DE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07A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1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9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39AF"/>
    <w:rPr>
      <w:color w:val="467886"/>
      <w:u w:val="single"/>
    </w:rPr>
  </w:style>
  <w:style w:type="paragraph" w:customStyle="1" w:styleId="Style1">
    <w:name w:val="Style1"/>
    <w:basedOn w:val="Heading3"/>
    <w:qFormat/>
    <w:rsid w:val="0018583A"/>
    <w:rPr>
      <w:i/>
      <w:sz w:val="24"/>
    </w:rPr>
  </w:style>
  <w:style w:type="paragraph" w:styleId="Header">
    <w:name w:val="header"/>
    <w:basedOn w:val="Normal"/>
    <w:link w:val="HeaderChar"/>
    <w:unhideWhenUsed/>
    <w:rsid w:val="00063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CA7"/>
  </w:style>
  <w:style w:type="paragraph" w:styleId="Footer">
    <w:name w:val="footer"/>
    <w:basedOn w:val="Normal"/>
    <w:link w:val="FooterChar"/>
    <w:uiPriority w:val="99"/>
    <w:unhideWhenUsed/>
    <w:rsid w:val="00063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lhospital.org/senate-assembly-legislative-budget-agreement-includes-diversion-of-prop-35-fund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alhospital.org/governors-may-revision-proposes-backfilling-budget-with-prop-35-fun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ee2631-0f13-4e09-97c9-214bdc00b6b2" xsi:nil="true"/>
    <lcf76f155ced4ddcb4097134ff3c332f xmlns="90716c0d-c493-4de7-b75c-b7f8443977ec">
      <Terms xmlns="http://schemas.microsoft.com/office/infopath/2007/PartnerControls"/>
    </lcf76f155ced4ddcb4097134ff3c332f>
    <Notes xmlns="90716c0d-c493-4de7-b75c-b7f8443977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FE87B90B13E499BA46552DF7EEEA1" ma:contentTypeVersion="17" ma:contentTypeDescription="Create a new document." ma:contentTypeScope="" ma:versionID="c0d9fe12cdc7ca5393a173140663df9b">
  <xsd:schema xmlns:xsd="http://www.w3.org/2001/XMLSchema" xmlns:xs="http://www.w3.org/2001/XMLSchema" xmlns:p="http://schemas.microsoft.com/office/2006/metadata/properties" xmlns:ns2="90716c0d-c493-4de7-b75c-b7f8443977ec" xmlns:ns3="b0ee2631-0f13-4e09-97c9-214bdc00b6b2" targetNamespace="http://schemas.microsoft.com/office/2006/metadata/properties" ma:root="true" ma:fieldsID="6085d80a50614c87872fa720352b8804" ns2:_="" ns3:_="">
    <xsd:import namespace="90716c0d-c493-4de7-b75c-b7f8443977ec"/>
    <xsd:import namespace="b0ee2631-0f13-4e09-97c9-214bdc00b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6c0d-c493-4de7-b75c-b7f844397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4" nillable="true" ma:displayName="Notes 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e2631-0f13-4e09-97c9-214bdc00b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35882f4-c75b-42ca-b210-9b45b0a1d38e}" ma:internalName="TaxCatchAll" ma:showField="CatchAllData" ma:web="b0ee2631-0f13-4e09-97c9-214bdc00b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DCD3A-31B0-4CA1-9D77-83FC6E828E94}">
  <ds:schemaRefs>
    <ds:schemaRef ds:uri="http://schemas.microsoft.com/office/2006/metadata/properties"/>
    <ds:schemaRef ds:uri="http://schemas.microsoft.com/office/infopath/2007/PartnerControls"/>
    <ds:schemaRef ds:uri="abe9e760-746c-47d0-bcf8-114f80dedc88"/>
    <ds:schemaRef ds:uri="1b54dded-fb63-4fcc-aa54-921c6f14f339"/>
  </ds:schemaRefs>
</ds:datastoreItem>
</file>

<file path=customXml/itemProps2.xml><?xml version="1.0" encoding="utf-8"?>
<ds:datastoreItem xmlns:ds="http://schemas.openxmlformats.org/officeDocument/2006/customXml" ds:itemID="{FDA2C9D4-A780-44C6-9C1B-B6FF347B72DD}"/>
</file>

<file path=customXml/itemProps3.xml><?xml version="1.0" encoding="utf-8"?>
<ds:datastoreItem xmlns:ds="http://schemas.openxmlformats.org/officeDocument/2006/customXml" ds:itemID="{D17E52DF-6B43-4C0F-A648-31FF012B1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Links>
    <vt:vector size="18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https://calhospital.org/senate-assembly-legislative-budget-agreement-includes-diversion-of-prop-35-funds/</vt:lpwstr>
      </vt:variant>
      <vt:variant>
        <vt:lpwstr/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https://calhospital.org/governors-may-revision-proposes-backfilling-budget-with-prop-35-funds/</vt:lpwstr>
      </vt:variant>
      <vt:variant>
        <vt:lpwstr/>
      </vt:variant>
      <vt:variant>
        <vt:i4>1114179</vt:i4>
      </vt:variant>
      <vt:variant>
        <vt:i4>0</vt:i4>
      </vt:variant>
      <vt:variant>
        <vt:i4>0</vt:i4>
      </vt:variant>
      <vt:variant>
        <vt:i4>5</vt:i4>
      </vt:variant>
      <vt:variant>
        <vt:lpwstr>https://calhospital.org/senate-assembly-legislative-budget-agreement-includes-diversion-of-prop-35-funds/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Dorsey</dc:creator>
  <cp:keywords/>
  <dc:description/>
  <cp:lastModifiedBy>Brianna Parker</cp:lastModifiedBy>
  <cp:revision>2</cp:revision>
  <dcterms:created xsi:type="dcterms:W3CDTF">2025-06-26T02:54:00Z</dcterms:created>
  <dcterms:modified xsi:type="dcterms:W3CDTF">2025-06-26T02:54:00Z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0x010100233FE87B90B13E499BA46552DF7EEEA1</vt:lpwstr>
  </property>
  <property fmtid="{D5CDD505-2E9C-101B-9397-08002B2CF9AE}" pid="4" name="MediaServiceImageTags">
    <vt:lpwstr/>
  </property>
</Properties>
</file>