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FBC9" w14:textId="1EDB594A" w:rsidR="00107DFC" w:rsidRPr="007F49F8" w:rsidRDefault="00107DFC" w:rsidP="00107DFC">
      <w:pPr>
        <w:pStyle w:val="Default"/>
        <w:rPr>
          <w:rFonts w:ascii="Seaford" w:hAnsi="Seaford" w:cstheme="minorHAnsi"/>
          <w:sz w:val="22"/>
          <w:szCs w:val="22"/>
        </w:rPr>
      </w:pPr>
      <w:r w:rsidRPr="007F49F8">
        <w:rPr>
          <w:rFonts w:ascii="Seaford" w:hAnsi="Seaford" w:cstheme="minorHAnsi"/>
          <w:sz w:val="22"/>
          <w:szCs w:val="22"/>
        </w:rPr>
        <w:t xml:space="preserve">August </w:t>
      </w:r>
      <w:r w:rsidR="007543D3" w:rsidRPr="007F49F8">
        <w:rPr>
          <w:rFonts w:ascii="Seaford" w:hAnsi="Seaford" w:cstheme="minorHAnsi"/>
          <w:sz w:val="22"/>
          <w:szCs w:val="22"/>
        </w:rPr>
        <w:t>16</w:t>
      </w:r>
      <w:r w:rsidRPr="007F49F8">
        <w:rPr>
          <w:rFonts w:ascii="Seaford" w:hAnsi="Seaford" w:cstheme="minorHAnsi"/>
          <w:sz w:val="22"/>
          <w:szCs w:val="22"/>
        </w:rPr>
        <w:t>, 202</w:t>
      </w:r>
      <w:r w:rsidR="00555C31" w:rsidRPr="007F49F8">
        <w:rPr>
          <w:rFonts w:ascii="Seaford" w:hAnsi="Seaford" w:cstheme="minorHAnsi"/>
          <w:sz w:val="22"/>
          <w:szCs w:val="22"/>
        </w:rPr>
        <w:t>2</w:t>
      </w:r>
      <w:r w:rsidR="00476D9E">
        <w:rPr>
          <w:rFonts w:ascii="Seaford" w:hAnsi="Seaford" w:cstheme="minorHAnsi"/>
          <w:sz w:val="22"/>
          <w:szCs w:val="22"/>
        </w:rPr>
        <w:tab/>
      </w:r>
      <w:r w:rsidR="00476D9E">
        <w:rPr>
          <w:rFonts w:ascii="Seaford" w:hAnsi="Seaford" w:cstheme="minorHAnsi"/>
          <w:sz w:val="22"/>
          <w:szCs w:val="22"/>
        </w:rPr>
        <w:tab/>
      </w:r>
      <w:r w:rsidR="00476D9E" w:rsidRPr="00476D9E">
        <w:rPr>
          <w:rFonts w:ascii="Seaford" w:hAnsi="Seaford" w:cstheme="minorHAnsi"/>
          <w:b/>
          <w:bCs/>
          <w:color w:val="FF0000"/>
          <w:sz w:val="22"/>
          <w:szCs w:val="22"/>
        </w:rPr>
        <w:t>***SUBJECT TO CHANGE***</w:t>
      </w:r>
    </w:p>
    <w:p w14:paraId="3032F7C2" w14:textId="77777777" w:rsidR="00107DFC" w:rsidRPr="007F49F8" w:rsidRDefault="00107DFC" w:rsidP="00107DFC">
      <w:pPr>
        <w:pStyle w:val="Default"/>
        <w:rPr>
          <w:rFonts w:ascii="Seaford" w:hAnsi="Seaford" w:cstheme="minorHAnsi"/>
          <w:sz w:val="22"/>
          <w:szCs w:val="22"/>
        </w:rPr>
      </w:pPr>
    </w:p>
    <w:p w14:paraId="2E5787A0" w14:textId="77777777" w:rsidR="00107DFC" w:rsidRPr="007F49F8" w:rsidRDefault="00107DFC" w:rsidP="00107DFC">
      <w:pPr>
        <w:pStyle w:val="Default"/>
        <w:rPr>
          <w:rFonts w:ascii="Seaford" w:hAnsi="Seaford" w:cstheme="minorHAnsi"/>
          <w:sz w:val="22"/>
          <w:szCs w:val="22"/>
        </w:rPr>
      </w:pPr>
    </w:p>
    <w:p w14:paraId="6EFAC530" w14:textId="62CA4256" w:rsidR="00107DFC" w:rsidRPr="007F49F8" w:rsidRDefault="00107DFC" w:rsidP="00107DFC">
      <w:pPr>
        <w:rPr>
          <w:rFonts w:ascii="Seaford" w:hAnsi="Seaford" w:cstheme="minorHAnsi"/>
          <w:sz w:val="22"/>
          <w:szCs w:val="22"/>
        </w:rPr>
      </w:pPr>
      <w:r w:rsidRPr="007F49F8">
        <w:rPr>
          <w:rFonts w:ascii="Seaford" w:hAnsi="Seaford" w:cstheme="minorHAnsi"/>
          <w:sz w:val="22"/>
          <w:szCs w:val="22"/>
        </w:rPr>
        <w:t>Chiquita Brooks</w:t>
      </w:r>
      <w:r w:rsidR="00BB0CA3" w:rsidRPr="007F49F8">
        <w:rPr>
          <w:rFonts w:ascii="Seaford" w:hAnsi="Seaford" w:cstheme="minorHAnsi"/>
          <w:sz w:val="22"/>
          <w:szCs w:val="22"/>
        </w:rPr>
        <w:t>-</w:t>
      </w:r>
      <w:r w:rsidRPr="007F49F8">
        <w:rPr>
          <w:rFonts w:ascii="Seaford" w:hAnsi="Seaford" w:cstheme="minorHAnsi"/>
          <w:sz w:val="22"/>
          <w:szCs w:val="22"/>
        </w:rPr>
        <w:t>LaSure                                                                                                                                           Administrator                                                                                                                                                                   Centers for Medicare &amp; Medicaid Services</w:t>
      </w:r>
      <w:r w:rsidRPr="007F49F8">
        <w:rPr>
          <w:rFonts w:ascii="Seaford" w:hAnsi="Seaford" w:cstheme="minorHAnsi"/>
          <w:sz w:val="22"/>
          <w:szCs w:val="22"/>
        </w:rPr>
        <w:br/>
        <w:t>Hubert H. Humphrey Building                                                                                                                                               200 Independence Avenue, S.W.                                                                                                                                      Washington, DC 20201</w:t>
      </w:r>
    </w:p>
    <w:p w14:paraId="045FC565" w14:textId="69247999" w:rsidR="009239F3" w:rsidRPr="007F49F8" w:rsidRDefault="009239F3" w:rsidP="00107DFC">
      <w:pPr>
        <w:rPr>
          <w:rFonts w:ascii="Seaford" w:hAnsi="Seaford" w:cstheme="minorHAnsi"/>
          <w:sz w:val="22"/>
          <w:szCs w:val="22"/>
        </w:rPr>
      </w:pPr>
    </w:p>
    <w:p w14:paraId="7D426EA9" w14:textId="5498D308" w:rsidR="00107DFC" w:rsidRPr="007F49F8" w:rsidRDefault="00FC12A1" w:rsidP="00107DFC">
      <w:pPr>
        <w:rPr>
          <w:rFonts w:ascii="Seaford" w:hAnsi="Seaford" w:cstheme="minorHAnsi"/>
          <w:b/>
          <w:i/>
          <w:sz w:val="22"/>
          <w:szCs w:val="22"/>
        </w:rPr>
      </w:pPr>
      <w:r w:rsidRPr="007F49F8">
        <w:rPr>
          <w:rFonts w:ascii="Seaford" w:hAnsi="Seaford" w:cstheme="minorHAnsi"/>
          <w:b/>
          <w:bCs/>
          <w:i/>
          <w:iCs/>
          <w:sz w:val="22"/>
          <w:szCs w:val="22"/>
        </w:rPr>
        <w:t xml:space="preserve">SUBJECT: </w:t>
      </w:r>
      <w:r w:rsidR="00B74017" w:rsidRPr="007F49F8">
        <w:rPr>
          <w:rFonts w:ascii="Seaford" w:hAnsi="Seaford" w:cstheme="minorHAnsi"/>
          <w:b/>
          <w:bCs/>
          <w:i/>
          <w:iCs/>
          <w:sz w:val="22"/>
          <w:szCs w:val="22"/>
        </w:rPr>
        <w:t xml:space="preserve">CMS-1766-P </w:t>
      </w:r>
      <w:r w:rsidRPr="007F49F8">
        <w:rPr>
          <w:rFonts w:ascii="Seaford" w:hAnsi="Seaford" w:cstheme="minorHAnsi"/>
          <w:b/>
          <w:bCs/>
          <w:i/>
          <w:iCs/>
          <w:sz w:val="22"/>
          <w:szCs w:val="22"/>
        </w:rPr>
        <w:t>Medicare Program; Calendar Year 2023 Home Health Prospective Payment System Rate Update; Home Health Quality Reporting Program Requirements; Home Health Value-Based Purchasing Expanded Model Requirements; and Home Infusion Therapy Services Requirement</w:t>
      </w:r>
      <w:r w:rsidR="00C30600" w:rsidRPr="007F49F8">
        <w:rPr>
          <w:rFonts w:ascii="Seaford" w:hAnsi="Seaford" w:cstheme="minorHAnsi"/>
          <w:b/>
          <w:bCs/>
          <w:i/>
          <w:iCs/>
          <w:sz w:val="22"/>
          <w:szCs w:val="22"/>
        </w:rPr>
        <w:t>; Federal Register (Vol.</w:t>
      </w:r>
      <w:r w:rsidR="007809B4" w:rsidRPr="007F49F8">
        <w:rPr>
          <w:rFonts w:ascii="Seaford" w:hAnsi="Seaford" w:cstheme="minorHAnsi"/>
          <w:b/>
          <w:bCs/>
          <w:i/>
          <w:iCs/>
          <w:sz w:val="22"/>
          <w:szCs w:val="22"/>
        </w:rPr>
        <w:t xml:space="preserve"> 87, No. 120</w:t>
      </w:r>
      <w:r w:rsidR="008527A3">
        <w:rPr>
          <w:rFonts w:ascii="Seaford" w:hAnsi="Seaford" w:cstheme="minorHAnsi"/>
          <w:b/>
          <w:bCs/>
          <w:i/>
          <w:iCs/>
          <w:sz w:val="22"/>
          <w:szCs w:val="22"/>
        </w:rPr>
        <w:t xml:space="preserve">) </w:t>
      </w:r>
      <w:r w:rsidR="007809B4" w:rsidRPr="007F49F8">
        <w:rPr>
          <w:rFonts w:ascii="Seaford" w:hAnsi="Seaford" w:cstheme="minorHAnsi"/>
          <w:b/>
          <w:bCs/>
          <w:i/>
          <w:iCs/>
          <w:sz w:val="22"/>
          <w:szCs w:val="22"/>
        </w:rPr>
        <w:t>June 23, 2022</w:t>
      </w:r>
      <w:r w:rsidRPr="007F49F8">
        <w:rPr>
          <w:rFonts w:ascii="Seaford" w:hAnsi="Seaford" w:cstheme="minorHAnsi"/>
          <w:b/>
          <w:bCs/>
          <w:i/>
          <w:iCs/>
          <w:sz w:val="22"/>
          <w:szCs w:val="22"/>
        </w:rPr>
        <w:t xml:space="preserve"> </w:t>
      </w:r>
    </w:p>
    <w:p w14:paraId="3570C933" w14:textId="77777777" w:rsidR="00107DFC" w:rsidRPr="007F49F8" w:rsidRDefault="00107DFC" w:rsidP="00107DFC">
      <w:pPr>
        <w:rPr>
          <w:rFonts w:ascii="Seaford" w:hAnsi="Seaford" w:cstheme="minorHAnsi"/>
          <w:b/>
          <w:i/>
          <w:sz w:val="22"/>
          <w:szCs w:val="22"/>
        </w:rPr>
      </w:pPr>
    </w:p>
    <w:p w14:paraId="256BA7E4" w14:textId="77777777" w:rsidR="00107DFC" w:rsidRPr="007F49F8" w:rsidRDefault="00107DFC" w:rsidP="00107DFC">
      <w:pPr>
        <w:rPr>
          <w:rFonts w:ascii="Seaford" w:hAnsi="Seaford" w:cstheme="minorHAnsi"/>
          <w:sz w:val="22"/>
          <w:szCs w:val="22"/>
        </w:rPr>
      </w:pPr>
      <w:r w:rsidRPr="007F49F8">
        <w:rPr>
          <w:rFonts w:ascii="Seaford" w:hAnsi="Seaford" w:cstheme="minorHAnsi"/>
          <w:sz w:val="22"/>
          <w:szCs w:val="22"/>
        </w:rPr>
        <w:t>Dear Administrator Brooks-LaSure:</w:t>
      </w:r>
    </w:p>
    <w:p w14:paraId="6A538869" w14:textId="77777777" w:rsidR="00107DFC" w:rsidRPr="007F49F8" w:rsidRDefault="00107DFC" w:rsidP="00107DFC">
      <w:pPr>
        <w:pStyle w:val="Default"/>
        <w:rPr>
          <w:rFonts w:ascii="Seaford" w:hAnsi="Seaford" w:cstheme="minorHAnsi"/>
          <w:sz w:val="22"/>
          <w:szCs w:val="22"/>
        </w:rPr>
      </w:pPr>
    </w:p>
    <w:p w14:paraId="38425E90" w14:textId="71761EA5" w:rsidR="00B70C78" w:rsidRPr="007F49F8" w:rsidRDefault="00107DFC" w:rsidP="003A31AE">
      <w:pPr>
        <w:pStyle w:val="Default"/>
        <w:rPr>
          <w:rFonts w:ascii="Seaford" w:eastAsia="Times New Roman" w:hAnsi="Seaford"/>
          <w:color w:val="auto"/>
          <w:sz w:val="22"/>
          <w:szCs w:val="22"/>
        </w:rPr>
      </w:pPr>
      <w:r w:rsidRPr="007F49F8">
        <w:rPr>
          <w:rFonts w:ascii="Seaford" w:hAnsi="Seaford" w:cstheme="minorHAnsi"/>
          <w:sz w:val="22"/>
          <w:szCs w:val="22"/>
        </w:rPr>
        <w:t>On behalf of our more than 400 member hospitals and health systems, including numerous home health agencies (HHAs), the California Hospital Association (CHA) is pleased to submit comments on the Centers for Medicare &amp; Medicaid Services</w:t>
      </w:r>
      <w:r w:rsidR="00C14760">
        <w:rPr>
          <w:rFonts w:ascii="Seaford" w:hAnsi="Seaford" w:cstheme="minorHAnsi"/>
          <w:sz w:val="22"/>
          <w:szCs w:val="22"/>
        </w:rPr>
        <w:t>’</w:t>
      </w:r>
      <w:r w:rsidRPr="007F49F8">
        <w:rPr>
          <w:rFonts w:ascii="Seaford" w:hAnsi="Seaford" w:cstheme="minorHAnsi"/>
          <w:sz w:val="22"/>
          <w:szCs w:val="22"/>
        </w:rPr>
        <w:t xml:space="preserve"> (CMS) </w:t>
      </w:r>
      <w:r w:rsidR="008527A3">
        <w:rPr>
          <w:rFonts w:ascii="Seaford" w:hAnsi="Seaford" w:cstheme="minorHAnsi"/>
          <w:sz w:val="22"/>
          <w:szCs w:val="22"/>
        </w:rPr>
        <w:t>h</w:t>
      </w:r>
      <w:r w:rsidRPr="007F49F8">
        <w:rPr>
          <w:rFonts w:ascii="Seaford" w:hAnsi="Seaford" w:cstheme="minorHAnsi"/>
          <w:sz w:val="22"/>
          <w:szCs w:val="22"/>
        </w:rPr>
        <w:t xml:space="preserve">ome </w:t>
      </w:r>
      <w:r w:rsidR="00C14760">
        <w:rPr>
          <w:rFonts w:ascii="Seaford" w:hAnsi="Seaford" w:cstheme="minorHAnsi"/>
          <w:sz w:val="22"/>
          <w:szCs w:val="22"/>
        </w:rPr>
        <w:t>h</w:t>
      </w:r>
      <w:r w:rsidRPr="007F49F8">
        <w:rPr>
          <w:rFonts w:ascii="Seaford" w:hAnsi="Seaford" w:cstheme="minorHAnsi"/>
          <w:sz w:val="22"/>
          <w:szCs w:val="22"/>
        </w:rPr>
        <w:t xml:space="preserve">ealth (HH) </w:t>
      </w:r>
      <w:r w:rsidR="00C14760">
        <w:rPr>
          <w:rFonts w:ascii="Seaford" w:hAnsi="Seaford" w:cstheme="minorHAnsi"/>
          <w:sz w:val="22"/>
          <w:szCs w:val="22"/>
        </w:rPr>
        <w:t>p</w:t>
      </w:r>
      <w:r w:rsidRPr="007F49F8">
        <w:rPr>
          <w:rFonts w:ascii="Seaford" w:hAnsi="Seaford" w:cstheme="minorHAnsi"/>
          <w:sz w:val="22"/>
          <w:szCs w:val="22"/>
        </w:rPr>
        <w:t xml:space="preserve">rospective </w:t>
      </w:r>
      <w:r w:rsidR="00C14760">
        <w:rPr>
          <w:rFonts w:ascii="Seaford" w:hAnsi="Seaford" w:cstheme="minorHAnsi"/>
          <w:sz w:val="22"/>
          <w:szCs w:val="22"/>
        </w:rPr>
        <w:t>p</w:t>
      </w:r>
      <w:r w:rsidRPr="007F49F8">
        <w:rPr>
          <w:rFonts w:ascii="Seaford" w:hAnsi="Seaford" w:cstheme="minorHAnsi"/>
          <w:sz w:val="22"/>
          <w:szCs w:val="22"/>
        </w:rPr>
        <w:t xml:space="preserve">ayment </w:t>
      </w:r>
      <w:r w:rsidR="00C14760">
        <w:rPr>
          <w:rFonts w:ascii="Seaford" w:hAnsi="Seaford" w:cstheme="minorHAnsi"/>
          <w:sz w:val="22"/>
          <w:szCs w:val="22"/>
        </w:rPr>
        <w:t>s</w:t>
      </w:r>
      <w:r w:rsidRPr="007F49F8">
        <w:rPr>
          <w:rFonts w:ascii="Seaford" w:hAnsi="Seaford" w:cstheme="minorHAnsi"/>
          <w:sz w:val="22"/>
          <w:szCs w:val="22"/>
        </w:rPr>
        <w:t>ystem (PPS) proposed rule for calendar year (CY) 202</w:t>
      </w:r>
      <w:r w:rsidR="00AD02FD" w:rsidRPr="007F49F8">
        <w:rPr>
          <w:rFonts w:ascii="Seaford" w:hAnsi="Seaford" w:cstheme="minorHAnsi"/>
          <w:sz w:val="22"/>
          <w:szCs w:val="22"/>
        </w:rPr>
        <w:t>3</w:t>
      </w:r>
      <w:r w:rsidRPr="007F49F8">
        <w:rPr>
          <w:rFonts w:ascii="Seaford" w:hAnsi="Seaford" w:cstheme="minorHAnsi"/>
          <w:sz w:val="22"/>
          <w:szCs w:val="22"/>
        </w:rPr>
        <w:t xml:space="preserve">. </w:t>
      </w:r>
    </w:p>
    <w:p w14:paraId="5EF4BEA7" w14:textId="77777777" w:rsidR="00B70C78" w:rsidRPr="007F49F8" w:rsidRDefault="00B70C78" w:rsidP="00B70C78">
      <w:pPr>
        <w:rPr>
          <w:rFonts w:ascii="Seaford" w:hAnsi="Seaford"/>
          <w:sz w:val="22"/>
          <w:szCs w:val="22"/>
        </w:rPr>
      </w:pPr>
    </w:p>
    <w:p w14:paraId="7A8F64A0" w14:textId="3557573B" w:rsidR="00107DFC" w:rsidRPr="007F49F8" w:rsidRDefault="00107DFC" w:rsidP="00107DFC">
      <w:pPr>
        <w:pStyle w:val="Default"/>
        <w:rPr>
          <w:rFonts w:ascii="Seaford" w:hAnsi="Seaford" w:cstheme="minorHAnsi"/>
          <w:bCs/>
          <w:sz w:val="22"/>
          <w:szCs w:val="22"/>
        </w:rPr>
      </w:pPr>
      <w:r w:rsidRPr="007F49F8">
        <w:rPr>
          <w:rFonts w:ascii="Seaford" w:hAnsi="Seaford" w:cstheme="minorHAnsi"/>
          <w:sz w:val="22"/>
          <w:szCs w:val="22"/>
        </w:rPr>
        <w:t>Our comments are made in the context of the</w:t>
      </w:r>
      <w:r w:rsidR="003A31AE" w:rsidRPr="007F49F8">
        <w:rPr>
          <w:rFonts w:ascii="Seaford" w:hAnsi="Seaford" w:cstheme="minorHAnsi"/>
          <w:sz w:val="22"/>
          <w:szCs w:val="22"/>
        </w:rPr>
        <w:t xml:space="preserve"> </w:t>
      </w:r>
      <w:r w:rsidRPr="007F49F8">
        <w:rPr>
          <w:rFonts w:ascii="Seaford" w:hAnsi="Seaford" w:cstheme="minorHAnsi"/>
          <w:bCs/>
          <w:sz w:val="22"/>
          <w:szCs w:val="22"/>
        </w:rPr>
        <w:t>ongoing COVID-19 public health emergency (PHE)</w:t>
      </w:r>
      <w:r w:rsidR="00BE5CA3">
        <w:rPr>
          <w:rFonts w:ascii="Seaford" w:hAnsi="Seaford" w:cstheme="minorHAnsi"/>
          <w:bCs/>
          <w:sz w:val="22"/>
          <w:szCs w:val="22"/>
        </w:rPr>
        <w:t>,</w:t>
      </w:r>
      <w:r w:rsidR="00BE384B" w:rsidRPr="007F49F8">
        <w:rPr>
          <w:rFonts w:ascii="Seaford" w:hAnsi="Seaford" w:cstheme="minorHAnsi"/>
          <w:bCs/>
          <w:sz w:val="22"/>
          <w:szCs w:val="22"/>
        </w:rPr>
        <w:t xml:space="preserve"> which</w:t>
      </w:r>
      <w:r w:rsidRPr="007F49F8">
        <w:rPr>
          <w:rFonts w:ascii="Seaford" w:hAnsi="Seaford" w:cstheme="minorHAnsi"/>
          <w:bCs/>
          <w:sz w:val="22"/>
          <w:szCs w:val="22"/>
        </w:rPr>
        <w:t xml:space="preserve"> continues to </w:t>
      </w:r>
      <w:r w:rsidR="008E4951" w:rsidRPr="007F49F8">
        <w:rPr>
          <w:rFonts w:ascii="Seaford" w:hAnsi="Seaford" w:cstheme="minorHAnsi"/>
          <w:bCs/>
          <w:sz w:val="22"/>
          <w:szCs w:val="22"/>
        </w:rPr>
        <w:t xml:space="preserve">challenge </w:t>
      </w:r>
      <w:r w:rsidRPr="007F49F8">
        <w:rPr>
          <w:rFonts w:ascii="Seaford" w:hAnsi="Seaford" w:cstheme="minorHAnsi"/>
          <w:bCs/>
          <w:sz w:val="22"/>
          <w:szCs w:val="22"/>
        </w:rPr>
        <w:t xml:space="preserve">providers at all levels </w:t>
      </w:r>
      <w:r w:rsidR="0025547F" w:rsidRPr="007F49F8">
        <w:rPr>
          <w:rFonts w:ascii="Seaford" w:hAnsi="Seaford" w:cstheme="minorHAnsi"/>
          <w:bCs/>
          <w:sz w:val="22"/>
          <w:szCs w:val="22"/>
        </w:rPr>
        <w:t xml:space="preserve">of the care continuum. </w:t>
      </w:r>
      <w:r w:rsidR="005D7D71" w:rsidRPr="007F49F8">
        <w:rPr>
          <w:rFonts w:ascii="Seaford" w:hAnsi="Seaford" w:cstheme="minorHAnsi"/>
          <w:bCs/>
          <w:sz w:val="22"/>
          <w:szCs w:val="22"/>
        </w:rPr>
        <w:t xml:space="preserve">Given the </w:t>
      </w:r>
      <w:r w:rsidR="0008779D" w:rsidRPr="007F49F8">
        <w:rPr>
          <w:rFonts w:ascii="Seaford" w:hAnsi="Seaford" w:cstheme="minorHAnsi"/>
          <w:bCs/>
          <w:sz w:val="22"/>
          <w:szCs w:val="22"/>
        </w:rPr>
        <w:t xml:space="preserve">unique role </w:t>
      </w:r>
      <w:r w:rsidR="00EF2A0D" w:rsidRPr="007F49F8">
        <w:rPr>
          <w:rFonts w:ascii="Seaford" w:hAnsi="Seaford" w:cstheme="minorHAnsi"/>
          <w:bCs/>
          <w:sz w:val="22"/>
          <w:szCs w:val="22"/>
        </w:rPr>
        <w:t xml:space="preserve">of </w:t>
      </w:r>
      <w:r w:rsidR="00BE5CA3">
        <w:rPr>
          <w:rFonts w:ascii="Seaford" w:hAnsi="Seaford" w:cstheme="minorHAnsi"/>
          <w:bCs/>
          <w:sz w:val="22"/>
          <w:szCs w:val="22"/>
        </w:rPr>
        <w:t>HH</w:t>
      </w:r>
      <w:r w:rsidR="0067203B" w:rsidRPr="007F49F8">
        <w:rPr>
          <w:rFonts w:ascii="Seaford" w:hAnsi="Seaford" w:cstheme="minorHAnsi"/>
          <w:bCs/>
          <w:sz w:val="22"/>
          <w:szCs w:val="22"/>
        </w:rPr>
        <w:t xml:space="preserve"> </w:t>
      </w:r>
      <w:r w:rsidR="00672C57" w:rsidRPr="007F49F8">
        <w:rPr>
          <w:rFonts w:ascii="Seaford" w:hAnsi="Seaford" w:cstheme="minorHAnsi"/>
          <w:bCs/>
          <w:sz w:val="22"/>
          <w:szCs w:val="22"/>
        </w:rPr>
        <w:t xml:space="preserve">in the </w:t>
      </w:r>
      <w:r w:rsidR="00C757E5" w:rsidRPr="007F49F8">
        <w:rPr>
          <w:rFonts w:ascii="Seaford" w:hAnsi="Seaford" w:cstheme="minorHAnsi"/>
          <w:bCs/>
          <w:sz w:val="22"/>
          <w:szCs w:val="22"/>
        </w:rPr>
        <w:t>care continuum</w:t>
      </w:r>
      <w:r w:rsidR="005D7D71" w:rsidRPr="007F49F8">
        <w:rPr>
          <w:rFonts w:ascii="Seaford" w:hAnsi="Seaford" w:cstheme="minorHAnsi"/>
          <w:bCs/>
          <w:sz w:val="22"/>
          <w:szCs w:val="22"/>
        </w:rPr>
        <w:t>, HH providers have been called upon to</w:t>
      </w:r>
      <w:r w:rsidR="00551866" w:rsidRPr="007F49F8">
        <w:rPr>
          <w:rFonts w:ascii="Seaford" w:hAnsi="Seaford" w:cstheme="minorHAnsi"/>
          <w:bCs/>
          <w:sz w:val="22"/>
          <w:szCs w:val="22"/>
        </w:rPr>
        <w:t xml:space="preserve"> </w:t>
      </w:r>
      <w:r w:rsidR="00101AA1" w:rsidRPr="007F49F8">
        <w:rPr>
          <w:rFonts w:ascii="Seaford" w:hAnsi="Seaford" w:cstheme="minorHAnsi"/>
          <w:bCs/>
          <w:sz w:val="22"/>
          <w:szCs w:val="22"/>
        </w:rPr>
        <w:t xml:space="preserve">respond to changes in </w:t>
      </w:r>
      <w:r w:rsidRPr="007F49F8">
        <w:rPr>
          <w:rFonts w:ascii="Seaford" w:hAnsi="Seaford" w:cstheme="minorHAnsi"/>
          <w:bCs/>
          <w:sz w:val="22"/>
          <w:szCs w:val="22"/>
        </w:rPr>
        <w:t>the types of patients they are seeing, their care needs, and how and where care is delivered</w:t>
      </w:r>
      <w:r w:rsidR="00815173" w:rsidRPr="007F49F8">
        <w:rPr>
          <w:rFonts w:ascii="Seaford" w:hAnsi="Seaford" w:cstheme="minorHAnsi"/>
          <w:bCs/>
          <w:sz w:val="22"/>
          <w:szCs w:val="22"/>
        </w:rPr>
        <w:t xml:space="preserve">. </w:t>
      </w:r>
      <w:r w:rsidR="00025A8A" w:rsidRPr="007F49F8">
        <w:rPr>
          <w:rFonts w:ascii="Seaford" w:hAnsi="Seaford" w:cstheme="minorHAnsi"/>
          <w:bCs/>
          <w:sz w:val="22"/>
          <w:szCs w:val="22"/>
        </w:rPr>
        <w:t xml:space="preserve">Policy and payment changes and updates </w:t>
      </w:r>
      <w:r w:rsidRPr="007F49F8">
        <w:rPr>
          <w:rFonts w:ascii="Seaford" w:hAnsi="Seaford" w:cstheme="minorHAnsi"/>
          <w:bCs/>
          <w:sz w:val="22"/>
          <w:szCs w:val="22"/>
        </w:rPr>
        <w:t xml:space="preserve">must </w:t>
      </w:r>
      <w:r w:rsidR="0027447B" w:rsidRPr="007F49F8">
        <w:rPr>
          <w:rFonts w:ascii="Seaford" w:hAnsi="Seaford" w:cstheme="minorHAnsi"/>
          <w:bCs/>
          <w:sz w:val="22"/>
          <w:szCs w:val="22"/>
        </w:rPr>
        <w:t>include cons</w:t>
      </w:r>
      <w:r w:rsidR="00240EB4" w:rsidRPr="007F49F8">
        <w:rPr>
          <w:rFonts w:ascii="Seaford" w:hAnsi="Seaford" w:cstheme="minorHAnsi"/>
          <w:bCs/>
          <w:sz w:val="22"/>
          <w:szCs w:val="22"/>
        </w:rPr>
        <w:t xml:space="preserve">ideration </w:t>
      </w:r>
      <w:r w:rsidR="0027447B" w:rsidRPr="007F49F8">
        <w:rPr>
          <w:rFonts w:ascii="Seaford" w:hAnsi="Seaford" w:cstheme="minorHAnsi"/>
          <w:bCs/>
          <w:sz w:val="22"/>
          <w:szCs w:val="22"/>
        </w:rPr>
        <w:t xml:space="preserve">of </w:t>
      </w:r>
      <w:r w:rsidRPr="007F49F8">
        <w:rPr>
          <w:rFonts w:ascii="Seaford" w:hAnsi="Seaford" w:cstheme="minorHAnsi"/>
          <w:bCs/>
          <w:sz w:val="22"/>
          <w:szCs w:val="22"/>
        </w:rPr>
        <w:t xml:space="preserve">these unique circumstances and the lessons we have learned during this difficult time.  </w:t>
      </w:r>
    </w:p>
    <w:p w14:paraId="3473A0ED" w14:textId="52F1814F" w:rsidR="00DA26E6" w:rsidRPr="007F49F8" w:rsidRDefault="00DA26E6" w:rsidP="00107DFC">
      <w:pPr>
        <w:pStyle w:val="Default"/>
        <w:rPr>
          <w:rFonts w:ascii="Seaford" w:hAnsi="Seaford" w:cstheme="minorHAnsi"/>
          <w:bCs/>
          <w:sz w:val="22"/>
          <w:szCs w:val="22"/>
        </w:rPr>
      </w:pPr>
    </w:p>
    <w:p w14:paraId="0D6A4765" w14:textId="05E4BB2B" w:rsidR="004D2713" w:rsidRPr="007F49F8" w:rsidRDefault="00DA26E6" w:rsidP="004F0559">
      <w:pPr>
        <w:autoSpaceDE w:val="0"/>
        <w:autoSpaceDN w:val="0"/>
        <w:adjustRightInd w:val="0"/>
        <w:ind w:left="46"/>
        <w:rPr>
          <w:rFonts w:ascii="Seaford" w:hAnsi="Seaford" w:cstheme="minorHAnsi"/>
          <w:sz w:val="22"/>
          <w:szCs w:val="22"/>
        </w:rPr>
      </w:pPr>
      <w:r w:rsidRPr="007F49F8">
        <w:rPr>
          <w:rFonts w:ascii="Seaford" w:hAnsi="Seaford" w:cstheme="minorHAnsi"/>
          <w:b/>
          <w:sz w:val="22"/>
          <w:szCs w:val="22"/>
        </w:rPr>
        <w:t>CHA has ser</w:t>
      </w:r>
      <w:r w:rsidRPr="007F49F8">
        <w:rPr>
          <w:rFonts w:ascii="Seaford" w:hAnsi="Seaford" w:cstheme="minorHAnsi"/>
          <w:b/>
          <w:bCs/>
          <w:sz w:val="22"/>
          <w:szCs w:val="22"/>
        </w:rPr>
        <w:t>i</w:t>
      </w:r>
      <w:r w:rsidRPr="007F49F8">
        <w:rPr>
          <w:rFonts w:ascii="Seaford" w:hAnsi="Seaford" w:cstheme="minorHAnsi"/>
          <w:b/>
          <w:sz w:val="22"/>
          <w:szCs w:val="22"/>
        </w:rPr>
        <w:t xml:space="preserve">ous concerns about </w:t>
      </w:r>
      <w:r w:rsidR="00AE53A0" w:rsidRPr="007F49F8">
        <w:rPr>
          <w:rFonts w:ascii="Seaford" w:hAnsi="Seaford" w:cstheme="minorHAnsi"/>
          <w:b/>
          <w:sz w:val="22"/>
          <w:szCs w:val="22"/>
        </w:rPr>
        <w:t xml:space="preserve">the impact of </w:t>
      </w:r>
      <w:r w:rsidR="00A57F86" w:rsidRPr="007F49F8">
        <w:rPr>
          <w:rFonts w:ascii="Seaford" w:hAnsi="Seaford" w:cstheme="minorHAnsi"/>
          <w:b/>
          <w:sz w:val="22"/>
          <w:szCs w:val="22"/>
        </w:rPr>
        <w:t>CMS’ proposed payment adjustments and request</w:t>
      </w:r>
      <w:r w:rsidR="00C3082A" w:rsidRPr="007F49F8">
        <w:rPr>
          <w:rFonts w:ascii="Seaford" w:hAnsi="Seaford" w:cstheme="minorHAnsi"/>
          <w:b/>
          <w:sz w:val="22"/>
          <w:szCs w:val="22"/>
        </w:rPr>
        <w:t>s</w:t>
      </w:r>
      <w:r w:rsidR="00A57F86" w:rsidRPr="007F49F8">
        <w:rPr>
          <w:rFonts w:ascii="Seaford" w:hAnsi="Seaford" w:cstheme="minorHAnsi"/>
          <w:b/>
          <w:sz w:val="22"/>
          <w:szCs w:val="22"/>
        </w:rPr>
        <w:t xml:space="preserve"> that CMS</w:t>
      </w:r>
      <w:r w:rsidR="00C3082A" w:rsidRPr="007F49F8">
        <w:rPr>
          <w:rFonts w:ascii="Seaford" w:hAnsi="Seaford" w:cstheme="minorHAnsi"/>
          <w:b/>
          <w:sz w:val="22"/>
          <w:szCs w:val="22"/>
        </w:rPr>
        <w:t xml:space="preserve"> take steps to </w:t>
      </w:r>
      <w:r w:rsidR="00C3082A" w:rsidRPr="007F49F8">
        <w:rPr>
          <w:rFonts w:ascii="Seaford" w:hAnsi="Seaford" w:cstheme="minorHAnsi"/>
          <w:b/>
          <w:bCs/>
          <w:sz w:val="22"/>
          <w:szCs w:val="22"/>
        </w:rPr>
        <w:t>eliminate punitive and unwarranted decreases in reimbursement</w:t>
      </w:r>
      <w:r w:rsidR="00FA0D73" w:rsidRPr="007F49F8">
        <w:rPr>
          <w:rFonts w:ascii="Seaford" w:hAnsi="Seaford" w:cstheme="minorHAnsi"/>
          <w:b/>
          <w:bCs/>
          <w:sz w:val="22"/>
          <w:szCs w:val="22"/>
        </w:rPr>
        <w:t xml:space="preserve">. </w:t>
      </w:r>
      <w:r w:rsidR="00FA0D73" w:rsidRPr="007F49F8">
        <w:rPr>
          <w:rFonts w:ascii="Seaford" w:hAnsi="Seaford" w:cstheme="minorHAnsi"/>
          <w:sz w:val="22"/>
          <w:szCs w:val="22"/>
        </w:rPr>
        <w:t xml:space="preserve">These steps are necessary to </w:t>
      </w:r>
      <w:r w:rsidR="001C60B4" w:rsidRPr="007F49F8">
        <w:rPr>
          <w:rFonts w:ascii="Seaford" w:hAnsi="Seaford" w:cstheme="minorHAnsi"/>
          <w:sz w:val="22"/>
          <w:szCs w:val="22"/>
        </w:rPr>
        <w:t>account for the significant cost increases experienced by</w:t>
      </w:r>
      <w:r w:rsidR="008527A3">
        <w:rPr>
          <w:rFonts w:ascii="Seaford" w:hAnsi="Seaford" w:cstheme="minorHAnsi"/>
          <w:sz w:val="22"/>
          <w:szCs w:val="22"/>
        </w:rPr>
        <w:t xml:space="preserve"> </w:t>
      </w:r>
      <w:r w:rsidR="00BE5CA3">
        <w:rPr>
          <w:rFonts w:ascii="Seaford" w:hAnsi="Seaford" w:cstheme="minorHAnsi"/>
          <w:sz w:val="22"/>
          <w:szCs w:val="22"/>
        </w:rPr>
        <w:t>HHAs</w:t>
      </w:r>
      <w:r w:rsidR="001C60B4" w:rsidRPr="007F49F8">
        <w:rPr>
          <w:rFonts w:ascii="Seaford" w:hAnsi="Seaford" w:cstheme="minorHAnsi"/>
          <w:sz w:val="22"/>
          <w:szCs w:val="22"/>
        </w:rPr>
        <w:t xml:space="preserve"> during the past few years.</w:t>
      </w:r>
      <w:r w:rsidR="00C3082A" w:rsidRPr="007F49F8">
        <w:rPr>
          <w:rFonts w:ascii="Seaford" w:hAnsi="Seaford" w:cstheme="minorHAnsi"/>
          <w:sz w:val="22"/>
          <w:szCs w:val="22"/>
        </w:rPr>
        <w:t xml:space="preserve"> </w:t>
      </w:r>
      <w:r w:rsidR="004F0559" w:rsidRPr="007F49F8">
        <w:rPr>
          <w:rFonts w:ascii="Seaford" w:hAnsi="Seaford" w:cstheme="minorHAnsi"/>
          <w:sz w:val="22"/>
          <w:szCs w:val="22"/>
        </w:rPr>
        <w:t xml:space="preserve">Specifically, we urge CMS to:  </w:t>
      </w:r>
    </w:p>
    <w:p w14:paraId="3E972F92" w14:textId="27F4B2F6" w:rsidR="00FA0D73" w:rsidRPr="007F49F8" w:rsidRDefault="003C28F8" w:rsidP="002A3C70">
      <w:pPr>
        <w:pStyle w:val="ListParagraph"/>
        <w:numPr>
          <w:ilvl w:val="0"/>
          <w:numId w:val="27"/>
        </w:numPr>
        <w:autoSpaceDE w:val="0"/>
        <w:autoSpaceDN w:val="0"/>
        <w:adjustRightInd w:val="0"/>
        <w:rPr>
          <w:rFonts w:ascii="Seaford" w:hAnsi="Seaford" w:cstheme="minorHAnsi"/>
          <w:b/>
          <w:bCs/>
          <w:sz w:val="22"/>
          <w:szCs w:val="22"/>
        </w:rPr>
      </w:pPr>
      <w:r w:rsidRPr="007F49F8">
        <w:rPr>
          <w:rFonts w:ascii="Seaford" w:hAnsi="Seaford" w:cstheme="minorHAnsi"/>
          <w:b/>
          <w:sz w:val="22"/>
          <w:szCs w:val="22"/>
        </w:rPr>
        <w:t>Consider a</w:t>
      </w:r>
      <w:r w:rsidR="00C15CC8" w:rsidRPr="007F49F8">
        <w:rPr>
          <w:rFonts w:ascii="Seaford" w:hAnsi="Seaford" w:cstheme="minorHAnsi"/>
          <w:b/>
          <w:sz w:val="22"/>
          <w:szCs w:val="22"/>
        </w:rPr>
        <w:t xml:space="preserve">dditional methods and data sources to </w:t>
      </w:r>
      <w:r w:rsidR="00A70511" w:rsidRPr="007F49F8">
        <w:rPr>
          <w:rFonts w:ascii="Seaford" w:hAnsi="Seaford" w:cstheme="minorHAnsi"/>
          <w:b/>
          <w:sz w:val="22"/>
          <w:szCs w:val="22"/>
        </w:rPr>
        <w:t>calculate the base market basket update</w:t>
      </w:r>
    </w:p>
    <w:p w14:paraId="654B6C2D" w14:textId="785D6F30" w:rsidR="00A57F86" w:rsidRPr="007F49F8" w:rsidRDefault="00C77705" w:rsidP="00727578">
      <w:pPr>
        <w:pStyle w:val="ListParagraph"/>
        <w:numPr>
          <w:ilvl w:val="0"/>
          <w:numId w:val="27"/>
        </w:numPr>
        <w:autoSpaceDE w:val="0"/>
        <w:autoSpaceDN w:val="0"/>
        <w:adjustRightInd w:val="0"/>
        <w:rPr>
          <w:rFonts w:ascii="Seaford" w:hAnsi="Seaford" w:cstheme="minorHAnsi"/>
          <w:b/>
          <w:bCs/>
          <w:sz w:val="22"/>
          <w:szCs w:val="22"/>
        </w:rPr>
      </w:pPr>
      <w:r w:rsidRPr="007F49F8">
        <w:rPr>
          <w:rFonts w:ascii="Seaford" w:hAnsi="Seaford" w:cstheme="minorHAnsi"/>
          <w:b/>
          <w:sz w:val="22"/>
          <w:szCs w:val="22"/>
        </w:rPr>
        <w:t xml:space="preserve">Delay </w:t>
      </w:r>
      <w:r w:rsidR="00A57F86" w:rsidRPr="007F49F8">
        <w:rPr>
          <w:rFonts w:ascii="Seaford" w:hAnsi="Seaford" w:cstheme="minorHAnsi"/>
          <w:b/>
          <w:sz w:val="22"/>
          <w:szCs w:val="22"/>
        </w:rPr>
        <w:t>implementation of the budget neutrality adjustment as currently proposed</w:t>
      </w:r>
      <w:r w:rsidRPr="007F49F8">
        <w:rPr>
          <w:rFonts w:ascii="Seaford" w:hAnsi="Seaford" w:cstheme="minorHAnsi"/>
          <w:b/>
          <w:sz w:val="22"/>
          <w:szCs w:val="22"/>
        </w:rPr>
        <w:t>.</w:t>
      </w:r>
      <w:r w:rsidR="00A57F86" w:rsidRPr="007F49F8">
        <w:rPr>
          <w:rFonts w:ascii="Seaford" w:hAnsi="Seaford" w:cstheme="minorHAnsi"/>
          <w:b/>
          <w:bCs/>
          <w:sz w:val="22"/>
          <w:szCs w:val="22"/>
        </w:rPr>
        <w:t xml:space="preserve"> </w:t>
      </w:r>
      <w:r w:rsidR="00A57F86" w:rsidRPr="007F49F8">
        <w:rPr>
          <w:rFonts w:ascii="Seaford" w:hAnsi="Seaford" w:cstheme="minorHAnsi"/>
          <w:sz w:val="22"/>
          <w:szCs w:val="22"/>
        </w:rPr>
        <w:t xml:space="preserve">CMS’ current proposal is based on flawed assumptions and does not adequately account for the significant cost increases experienced by </w:t>
      </w:r>
      <w:r w:rsidR="001C3AB0">
        <w:rPr>
          <w:rFonts w:ascii="Seaford" w:hAnsi="Seaford" w:cstheme="minorHAnsi"/>
          <w:sz w:val="22"/>
          <w:szCs w:val="22"/>
        </w:rPr>
        <w:t>HHAs</w:t>
      </w:r>
      <w:r w:rsidR="00A57F86" w:rsidRPr="007F49F8">
        <w:rPr>
          <w:rFonts w:ascii="Seaford" w:hAnsi="Seaford" w:cstheme="minorHAnsi"/>
          <w:sz w:val="22"/>
          <w:szCs w:val="22"/>
        </w:rPr>
        <w:t xml:space="preserve"> during the past few years.  </w:t>
      </w:r>
    </w:p>
    <w:p w14:paraId="1981DA1C" w14:textId="337F7595" w:rsidR="00A57F86" w:rsidRPr="007F49F8" w:rsidRDefault="00A57F86" w:rsidP="00A57F86">
      <w:pPr>
        <w:rPr>
          <w:rFonts w:ascii="Seaford" w:hAnsi="Seaford" w:cstheme="minorHAnsi"/>
          <w:bCs/>
          <w:sz w:val="22"/>
          <w:szCs w:val="22"/>
        </w:rPr>
      </w:pPr>
      <w:r w:rsidRPr="007F49F8">
        <w:rPr>
          <w:rFonts w:ascii="Seaford" w:hAnsi="Seaford" w:cstheme="minorHAnsi"/>
          <w:b/>
          <w:bCs/>
          <w:sz w:val="22"/>
          <w:szCs w:val="22"/>
        </w:rPr>
        <w:lastRenderedPageBreak/>
        <w:t xml:space="preserve">CHA </w:t>
      </w:r>
      <w:r w:rsidR="009E70FF" w:rsidRPr="007F49F8">
        <w:rPr>
          <w:rFonts w:ascii="Seaford" w:hAnsi="Seaford" w:cstheme="minorHAnsi"/>
          <w:b/>
          <w:bCs/>
          <w:sz w:val="22"/>
          <w:szCs w:val="22"/>
        </w:rPr>
        <w:t xml:space="preserve">also urges </w:t>
      </w:r>
      <w:r w:rsidRPr="007F49F8">
        <w:rPr>
          <w:rFonts w:ascii="Seaford" w:hAnsi="Seaford" w:cstheme="minorHAnsi"/>
          <w:b/>
          <w:bCs/>
          <w:sz w:val="22"/>
          <w:szCs w:val="22"/>
        </w:rPr>
        <w:t xml:space="preserve">CMS </w:t>
      </w:r>
      <w:r w:rsidR="009E70FF" w:rsidRPr="007F49F8">
        <w:rPr>
          <w:rFonts w:ascii="Seaford" w:hAnsi="Seaford" w:cstheme="minorHAnsi"/>
          <w:b/>
          <w:bCs/>
          <w:sz w:val="22"/>
          <w:szCs w:val="22"/>
        </w:rPr>
        <w:t xml:space="preserve">to </w:t>
      </w:r>
      <w:r w:rsidRPr="007F49F8">
        <w:rPr>
          <w:rFonts w:ascii="Seaford" w:hAnsi="Seaford" w:cstheme="minorHAnsi"/>
          <w:b/>
          <w:bCs/>
          <w:sz w:val="22"/>
          <w:szCs w:val="22"/>
        </w:rPr>
        <w:t xml:space="preserve">delay the requirement for </w:t>
      </w:r>
      <w:r w:rsidR="00196269">
        <w:rPr>
          <w:rFonts w:ascii="Seaford" w:hAnsi="Seaford" w:cstheme="minorHAnsi"/>
          <w:b/>
          <w:bCs/>
          <w:sz w:val="22"/>
          <w:szCs w:val="22"/>
        </w:rPr>
        <w:t xml:space="preserve">the </w:t>
      </w:r>
      <w:r w:rsidRPr="007F49F8">
        <w:rPr>
          <w:rFonts w:ascii="Seaford" w:hAnsi="Seaford" w:cstheme="minorHAnsi"/>
          <w:b/>
          <w:bCs/>
          <w:sz w:val="22"/>
          <w:szCs w:val="22"/>
        </w:rPr>
        <w:t>implementation of the updated OASIS for all payers until at least January 2025</w:t>
      </w:r>
      <w:r w:rsidR="009E70FF" w:rsidRPr="007F49F8">
        <w:rPr>
          <w:rFonts w:ascii="Seaford" w:hAnsi="Seaford" w:cstheme="minorHAnsi"/>
          <w:b/>
          <w:bCs/>
          <w:sz w:val="22"/>
          <w:szCs w:val="22"/>
        </w:rPr>
        <w:t xml:space="preserve">, in alignment with other post-acute care settings. </w:t>
      </w:r>
      <w:r w:rsidRPr="007F49F8">
        <w:rPr>
          <w:rFonts w:ascii="Seaford" w:hAnsi="Seaford" w:cstheme="minorHAnsi"/>
          <w:sz w:val="22"/>
          <w:szCs w:val="22"/>
        </w:rPr>
        <w:t xml:space="preserve">While we support </w:t>
      </w:r>
      <w:r w:rsidR="00BE64DF">
        <w:rPr>
          <w:rFonts w:ascii="Seaford" w:hAnsi="Seaford" w:cstheme="minorHAnsi"/>
          <w:sz w:val="22"/>
          <w:szCs w:val="22"/>
        </w:rPr>
        <w:t xml:space="preserve">the implementation of </w:t>
      </w:r>
      <w:r w:rsidRPr="007F49F8">
        <w:rPr>
          <w:rFonts w:ascii="Seaford" w:hAnsi="Seaford" w:cstheme="minorHAnsi"/>
          <w:sz w:val="22"/>
          <w:szCs w:val="22"/>
        </w:rPr>
        <w:t>a robust and standardized quality reporting program</w:t>
      </w:r>
      <w:r w:rsidR="003F01DE">
        <w:rPr>
          <w:rFonts w:ascii="Seaford" w:hAnsi="Seaford" w:cstheme="minorHAnsi"/>
          <w:sz w:val="22"/>
          <w:szCs w:val="22"/>
        </w:rPr>
        <w:t xml:space="preserve"> (QRP)</w:t>
      </w:r>
      <w:r w:rsidRPr="007F49F8">
        <w:rPr>
          <w:rFonts w:ascii="Seaford" w:hAnsi="Seaford" w:cstheme="minorHAnsi"/>
          <w:sz w:val="22"/>
          <w:szCs w:val="22"/>
        </w:rPr>
        <w:t xml:space="preserve">, HHAs need additional time to adjust to this change, particularly in recognition of the many challenges and changes they have absorbed in recent years.  </w:t>
      </w:r>
    </w:p>
    <w:p w14:paraId="25991CE5" w14:textId="77777777" w:rsidR="00A57F86" w:rsidRPr="007F49F8" w:rsidRDefault="00A57F86" w:rsidP="00A57F86">
      <w:pPr>
        <w:pStyle w:val="Default"/>
        <w:rPr>
          <w:rFonts w:ascii="Seaford" w:hAnsi="Seaford" w:cstheme="minorHAnsi"/>
          <w:sz w:val="22"/>
          <w:szCs w:val="22"/>
        </w:rPr>
      </w:pPr>
    </w:p>
    <w:p w14:paraId="7DF643EC" w14:textId="77777777" w:rsidR="00A57F86" w:rsidRPr="007F49F8" w:rsidRDefault="00A57F86" w:rsidP="00A57F86">
      <w:pPr>
        <w:pStyle w:val="BodyText"/>
        <w:tabs>
          <w:tab w:val="left" w:pos="9180"/>
        </w:tabs>
        <w:kinsoku w:val="0"/>
        <w:overflowPunct w:val="0"/>
        <w:rPr>
          <w:rFonts w:ascii="Seaford" w:hAnsi="Seaford" w:cstheme="minorHAnsi"/>
          <w:b/>
          <w:bCs w:val="0"/>
          <w:sz w:val="22"/>
          <w:szCs w:val="22"/>
        </w:rPr>
      </w:pPr>
      <w:r w:rsidRPr="007F49F8">
        <w:rPr>
          <w:rFonts w:ascii="Seaford" w:hAnsi="Seaford" w:cstheme="minorHAnsi"/>
          <w:b/>
          <w:bCs w:val="0"/>
          <w:sz w:val="22"/>
          <w:szCs w:val="22"/>
        </w:rPr>
        <w:t>CHA supports and appreciates CMS’ proposals to:</w:t>
      </w:r>
    </w:p>
    <w:p w14:paraId="6B98A08E" w14:textId="3BCE9365" w:rsidR="00A57F86" w:rsidRPr="007F49F8" w:rsidRDefault="00A57F86" w:rsidP="00A57F86">
      <w:pPr>
        <w:pStyle w:val="BodyText"/>
        <w:numPr>
          <w:ilvl w:val="0"/>
          <w:numId w:val="23"/>
        </w:numPr>
        <w:tabs>
          <w:tab w:val="left" w:pos="9180"/>
        </w:tabs>
        <w:kinsoku w:val="0"/>
        <w:overflowPunct w:val="0"/>
        <w:rPr>
          <w:rFonts w:ascii="Seaford" w:hAnsi="Seaford" w:cstheme="minorHAnsi"/>
          <w:sz w:val="22"/>
          <w:szCs w:val="22"/>
        </w:rPr>
      </w:pPr>
      <w:r w:rsidRPr="007F49F8">
        <w:rPr>
          <w:rFonts w:ascii="Seaford" w:hAnsi="Seaford" w:cs="Calibri"/>
          <w:b/>
          <w:bCs w:val="0"/>
          <w:sz w:val="22"/>
          <w:szCs w:val="22"/>
        </w:rPr>
        <w:t xml:space="preserve">Continue for CY 2023 the use of existing </w:t>
      </w:r>
      <w:r w:rsidR="00F37B79" w:rsidRPr="007F49F8">
        <w:rPr>
          <w:rFonts w:ascii="Seaford" w:hAnsi="Seaford" w:cstheme="minorHAnsi"/>
        </w:rPr>
        <w:t xml:space="preserve">outcome and assessment information set </w:t>
      </w:r>
      <w:r w:rsidR="00F37B79">
        <w:rPr>
          <w:rFonts w:ascii="Seaford" w:hAnsi="Seaford" w:cstheme="minorHAnsi"/>
        </w:rPr>
        <w:t>(</w:t>
      </w:r>
      <w:r w:rsidRPr="007F49F8">
        <w:rPr>
          <w:rFonts w:ascii="Seaford" w:hAnsi="Seaford" w:cs="Calibri"/>
          <w:b/>
          <w:bCs w:val="0"/>
          <w:sz w:val="22"/>
          <w:szCs w:val="22"/>
        </w:rPr>
        <w:t>OASIS</w:t>
      </w:r>
      <w:r w:rsidR="00674E99">
        <w:rPr>
          <w:rFonts w:ascii="Seaford" w:hAnsi="Seaford" w:cs="Calibri"/>
          <w:b/>
          <w:bCs w:val="0"/>
          <w:sz w:val="22"/>
          <w:szCs w:val="22"/>
        </w:rPr>
        <w:t>)</w:t>
      </w:r>
      <w:r w:rsidRPr="007F49F8">
        <w:rPr>
          <w:rFonts w:ascii="Seaford" w:hAnsi="Seaford" w:cs="Calibri"/>
          <w:b/>
          <w:bCs w:val="0"/>
          <w:sz w:val="22"/>
          <w:szCs w:val="22"/>
        </w:rPr>
        <w:t xml:space="preserve"> items M1800-1860 for the purposes of case-mix and payment in recognition of the limitations of the current data to compare to Section GG. </w:t>
      </w:r>
      <w:r w:rsidRPr="007F49F8">
        <w:rPr>
          <w:rFonts w:ascii="Seaford" w:hAnsi="Seaford" w:cs="Calibri"/>
          <w:sz w:val="22"/>
          <w:szCs w:val="22"/>
        </w:rPr>
        <w:t>CHA urges</w:t>
      </w:r>
      <w:r w:rsidRPr="007F49F8">
        <w:rPr>
          <w:rFonts w:ascii="Seaford" w:hAnsi="Seaford" w:cs="Calibri"/>
          <w:b/>
          <w:bCs w:val="0"/>
          <w:sz w:val="22"/>
          <w:szCs w:val="22"/>
        </w:rPr>
        <w:t xml:space="preserve"> </w:t>
      </w:r>
      <w:r w:rsidRPr="007F49F8">
        <w:rPr>
          <w:rFonts w:ascii="Seaford" w:hAnsi="Seaford" w:cs="Calibri"/>
          <w:sz w:val="22"/>
          <w:szCs w:val="22"/>
        </w:rPr>
        <w:t>CMS to continue its analysis</w:t>
      </w:r>
      <w:r w:rsidRPr="007F49F8">
        <w:rPr>
          <w:rFonts w:ascii="Seaford" w:hAnsi="Seaford" w:cs="Calibri"/>
          <w:b/>
          <w:bCs w:val="0"/>
          <w:sz w:val="22"/>
          <w:szCs w:val="22"/>
        </w:rPr>
        <w:t xml:space="preserve"> </w:t>
      </w:r>
      <w:r w:rsidRPr="007F49F8">
        <w:rPr>
          <w:rFonts w:ascii="Seaford" w:hAnsi="Seaford" w:cs="Calibri"/>
          <w:sz w:val="22"/>
          <w:szCs w:val="22"/>
        </w:rPr>
        <w:t xml:space="preserve">of the correlation between these OASIS items and similar items in Section GG toward a goal of determining the feasibility of adopting Section GG items as standardized patient assessment items and decreasing the administrative burden of collecting and reporting duplicative data.  </w:t>
      </w:r>
    </w:p>
    <w:p w14:paraId="5954501C" w14:textId="77777777" w:rsidR="00A57F86" w:rsidRPr="007F49F8" w:rsidRDefault="00A57F86" w:rsidP="00A57F86">
      <w:pPr>
        <w:pStyle w:val="BodyText"/>
        <w:tabs>
          <w:tab w:val="left" w:pos="9180"/>
        </w:tabs>
        <w:kinsoku w:val="0"/>
        <w:overflowPunct w:val="0"/>
        <w:rPr>
          <w:rFonts w:ascii="Seaford" w:hAnsi="Seaford" w:cstheme="minorHAnsi"/>
          <w:sz w:val="22"/>
          <w:szCs w:val="22"/>
        </w:rPr>
      </w:pPr>
    </w:p>
    <w:p w14:paraId="776A0347" w14:textId="4018CDD4" w:rsidR="00A57F86" w:rsidRPr="007F49F8" w:rsidRDefault="00A57F86" w:rsidP="00FE3235">
      <w:pPr>
        <w:pStyle w:val="BodyText"/>
        <w:numPr>
          <w:ilvl w:val="0"/>
          <w:numId w:val="23"/>
        </w:numPr>
        <w:tabs>
          <w:tab w:val="left" w:pos="9180"/>
        </w:tabs>
        <w:kinsoku w:val="0"/>
        <w:overflowPunct w:val="0"/>
        <w:autoSpaceDE w:val="0"/>
        <w:autoSpaceDN w:val="0"/>
        <w:adjustRightInd w:val="0"/>
        <w:rPr>
          <w:rFonts w:ascii="Seaford" w:hAnsi="Seaford" w:cstheme="minorHAnsi"/>
          <w:b/>
          <w:sz w:val="22"/>
          <w:szCs w:val="22"/>
        </w:rPr>
      </w:pPr>
      <w:r w:rsidRPr="007F49F8">
        <w:rPr>
          <w:rFonts w:ascii="Seaford" w:hAnsi="Seaford" w:cstheme="minorHAnsi"/>
          <w:b/>
          <w:sz w:val="22"/>
          <w:szCs w:val="22"/>
        </w:rPr>
        <w:t xml:space="preserve">Collect additional data on home health claims regarding the use of telehealth and remote patient monitoring.  </w:t>
      </w:r>
      <w:r w:rsidRPr="007F49F8">
        <w:rPr>
          <w:rFonts w:ascii="Seaford" w:hAnsi="Seaford" w:cstheme="minorHAnsi"/>
          <w:sz w:val="22"/>
          <w:szCs w:val="22"/>
        </w:rPr>
        <w:t xml:space="preserve">CHA commends CMS’ recognition of the value of these new technologies and applauds CMS’ interest in investigating their impact on home-based care delivery and social determinants of health.   </w:t>
      </w:r>
    </w:p>
    <w:p w14:paraId="7A211571" w14:textId="07082E93" w:rsidR="00C77705" w:rsidRPr="007F49F8" w:rsidRDefault="00A57F86" w:rsidP="00C77705">
      <w:pPr>
        <w:autoSpaceDE w:val="0"/>
        <w:autoSpaceDN w:val="0"/>
        <w:adjustRightInd w:val="0"/>
        <w:rPr>
          <w:rFonts w:ascii="Seaford" w:hAnsi="Seaford" w:cstheme="minorHAnsi"/>
          <w:sz w:val="22"/>
          <w:szCs w:val="22"/>
        </w:rPr>
      </w:pPr>
      <w:r w:rsidRPr="007F49F8">
        <w:rPr>
          <w:rFonts w:ascii="Seaford" w:hAnsi="Seaford" w:cstheme="minorHAnsi"/>
          <w:b/>
          <w:sz w:val="22"/>
          <w:szCs w:val="22"/>
        </w:rPr>
        <w:t xml:space="preserve"> </w:t>
      </w:r>
    </w:p>
    <w:p w14:paraId="40B056C3" w14:textId="77777777" w:rsidR="007F46C1" w:rsidRPr="00457018" w:rsidRDefault="007F46C1" w:rsidP="007F46C1">
      <w:pPr>
        <w:pStyle w:val="Heading1"/>
        <w:jc w:val="left"/>
        <w:rPr>
          <w:rFonts w:ascii="Seaford" w:hAnsi="Seaford"/>
          <w:sz w:val="28"/>
          <w:szCs w:val="28"/>
        </w:rPr>
      </w:pPr>
      <w:r w:rsidRPr="00457018">
        <w:rPr>
          <w:rFonts w:ascii="Seaford" w:hAnsi="Seaford"/>
          <w:sz w:val="28"/>
          <w:szCs w:val="28"/>
        </w:rPr>
        <w:t>Market Basket Update</w:t>
      </w:r>
    </w:p>
    <w:p w14:paraId="47FD5074" w14:textId="129D1BE7" w:rsidR="007F46C1" w:rsidRPr="007F49F8" w:rsidRDefault="007F46C1" w:rsidP="007F46C1">
      <w:pPr>
        <w:rPr>
          <w:rFonts w:ascii="Seaford" w:hAnsi="Seaford"/>
          <w:sz w:val="22"/>
          <w:szCs w:val="22"/>
        </w:rPr>
      </w:pPr>
      <w:r w:rsidRPr="007F49F8">
        <w:rPr>
          <w:rFonts w:ascii="Seaford" w:hAnsi="Seaford"/>
          <w:sz w:val="22"/>
          <w:szCs w:val="22"/>
        </w:rPr>
        <w:t xml:space="preserve">CMS proposes a market basket increase for FFY 2023 of 3.3%. This is then reduced by the 0.4 percentage point “productivity adjustment” required under the Affordable Care Act (ACA). The resulting proposed </w:t>
      </w:r>
      <w:r w:rsidR="004447F5">
        <w:rPr>
          <w:rFonts w:ascii="Seaford" w:hAnsi="Seaford"/>
          <w:sz w:val="22"/>
          <w:szCs w:val="22"/>
        </w:rPr>
        <w:t>HH</w:t>
      </w:r>
      <w:r w:rsidRPr="007F49F8">
        <w:rPr>
          <w:rFonts w:ascii="Seaford" w:hAnsi="Seaford"/>
          <w:sz w:val="22"/>
          <w:szCs w:val="22"/>
        </w:rPr>
        <w:t xml:space="preserve"> market basket update equals 2.9% (3.3% minus 0.4 percentage points for productivity reduction). </w:t>
      </w:r>
    </w:p>
    <w:p w14:paraId="5C045545" w14:textId="77777777" w:rsidR="007F46C1" w:rsidRPr="007F49F8" w:rsidRDefault="007F46C1" w:rsidP="007F46C1">
      <w:pPr>
        <w:rPr>
          <w:rFonts w:ascii="Seaford" w:hAnsi="Seaford"/>
          <w:b/>
          <w:bCs/>
          <w:sz w:val="22"/>
          <w:szCs w:val="22"/>
        </w:rPr>
      </w:pPr>
    </w:p>
    <w:p w14:paraId="2D481DD2" w14:textId="30443740" w:rsidR="007F46C1" w:rsidRPr="007F49F8" w:rsidRDefault="007F46C1" w:rsidP="007F46C1">
      <w:pPr>
        <w:rPr>
          <w:rFonts w:ascii="Seaford" w:hAnsi="Seaford"/>
          <w:b/>
          <w:bCs/>
          <w:sz w:val="22"/>
          <w:szCs w:val="22"/>
        </w:rPr>
      </w:pPr>
      <w:r w:rsidRPr="007F49F8">
        <w:rPr>
          <w:rFonts w:ascii="Seaford" w:hAnsi="Seaford"/>
          <w:b/>
          <w:bCs/>
          <w:sz w:val="22"/>
          <w:szCs w:val="22"/>
        </w:rPr>
        <w:t xml:space="preserve">CHA is deeply disappointed in the proposed 2.9% market basket update as it is wholly inadequate relative to the input cost inflation experienced by </w:t>
      </w:r>
      <w:r w:rsidR="006B5F9A">
        <w:rPr>
          <w:rFonts w:ascii="Seaford" w:hAnsi="Seaford"/>
          <w:b/>
          <w:bCs/>
          <w:sz w:val="22"/>
          <w:szCs w:val="22"/>
        </w:rPr>
        <w:t>HHAs</w:t>
      </w:r>
      <w:r w:rsidRPr="007F49F8">
        <w:rPr>
          <w:rFonts w:ascii="Seaford" w:hAnsi="Seaford"/>
          <w:b/>
          <w:bCs/>
          <w:sz w:val="22"/>
          <w:szCs w:val="22"/>
        </w:rPr>
        <w:t>.</w:t>
      </w:r>
      <w:r w:rsidRPr="007F49F8">
        <w:rPr>
          <w:rFonts w:ascii="Seaford" w:hAnsi="Seaford"/>
          <w:sz w:val="22"/>
          <w:szCs w:val="22"/>
        </w:rPr>
        <w:t xml:space="preserve"> While CHA appreciates that CMS will refresh the market basket update in the final rule using more recent data, we are deeply concerned that the revised update will still be insufficient relative to input cost inflation — particularly for labor.</w:t>
      </w:r>
    </w:p>
    <w:p w14:paraId="42ACCE64" w14:textId="77777777" w:rsidR="007F46C1" w:rsidRPr="007F49F8" w:rsidRDefault="007F46C1" w:rsidP="007F46C1">
      <w:pPr>
        <w:rPr>
          <w:rFonts w:ascii="Seaford" w:hAnsi="Seaford"/>
          <w:sz w:val="22"/>
          <w:szCs w:val="22"/>
        </w:rPr>
      </w:pPr>
    </w:p>
    <w:p w14:paraId="7A76A8A4" w14:textId="7F2B6C8E" w:rsidR="007F46C1" w:rsidRPr="007F49F8" w:rsidRDefault="007F46C1" w:rsidP="007F46C1">
      <w:pPr>
        <w:rPr>
          <w:rFonts w:ascii="Seaford" w:hAnsi="Seaford"/>
          <w:sz w:val="22"/>
          <w:szCs w:val="22"/>
        </w:rPr>
      </w:pPr>
      <w:bookmarkStart w:id="0" w:name="_Hlk104293532"/>
      <w:r w:rsidRPr="007F49F8">
        <w:rPr>
          <w:rFonts w:ascii="Seaford" w:hAnsi="Seaford"/>
          <w:sz w:val="22"/>
          <w:szCs w:val="22"/>
        </w:rPr>
        <w:t>Even before the application of the productivity adjustment (discussed further below), the methodology — based on IHS Global Insight data — has continually failed to keep up with cost growth year-over-year.</w:t>
      </w:r>
      <w:bookmarkEnd w:id="0"/>
      <w:r w:rsidRPr="007F49F8">
        <w:rPr>
          <w:rFonts w:ascii="Seaford" w:hAnsi="Seaford"/>
          <w:sz w:val="22"/>
          <w:szCs w:val="22"/>
        </w:rPr>
        <w:t xml:space="preserve"> From 2015 to 2019, </w:t>
      </w:r>
      <w:r w:rsidR="00A423C7">
        <w:rPr>
          <w:rFonts w:ascii="Seaford" w:hAnsi="Seaford"/>
          <w:sz w:val="22"/>
          <w:szCs w:val="22"/>
        </w:rPr>
        <w:t>HH</w:t>
      </w:r>
      <w:r w:rsidRPr="007F49F8">
        <w:rPr>
          <w:rFonts w:ascii="Seaford" w:hAnsi="Seaford"/>
          <w:sz w:val="22"/>
          <w:szCs w:val="22"/>
        </w:rPr>
        <w:t xml:space="preserve"> per</w:t>
      </w:r>
      <w:r w:rsidR="00A423C7">
        <w:rPr>
          <w:rFonts w:ascii="Seaford" w:hAnsi="Seaford"/>
          <w:sz w:val="22"/>
          <w:szCs w:val="22"/>
        </w:rPr>
        <w:t>-</w:t>
      </w:r>
      <w:r w:rsidRPr="007F49F8">
        <w:rPr>
          <w:rFonts w:ascii="Seaford" w:hAnsi="Seaford"/>
          <w:sz w:val="22"/>
          <w:szCs w:val="22"/>
        </w:rPr>
        <w:t>visit cost growth exceeded the Medicare market basket update by a cumulative 13.1 percentage points</w:t>
      </w:r>
      <w:r w:rsidRPr="007F49F8">
        <w:rPr>
          <w:rStyle w:val="FootnoteReference"/>
          <w:rFonts w:ascii="Seaford" w:hAnsi="Seaford"/>
          <w:sz w:val="22"/>
          <w:szCs w:val="22"/>
        </w:rPr>
        <w:footnoteReference w:id="1"/>
      </w:r>
      <w:r w:rsidRPr="007F49F8">
        <w:rPr>
          <w:rFonts w:ascii="Seaford" w:hAnsi="Seaford"/>
          <w:sz w:val="22"/>
          <w:szCs w:val="22"/>
        </w:rPr>
        <w:t>. Now, in the face of input price growth at levels not seen in 40 years</w:t>
      </w:r>
      <w:r w:rsidRPr="007F49F8">
        <w:rPr>
          <w:rStyle w:val="FootnoteReference"/>
          <w:rFonts w:ascii="Seaford" w:hAnsi="Seaford"/>
          <w:sz w:val="22"/>
          <w:szCs w:val="22"/>
        </w:rPr>
        <w:footnoteReference w:id="2"/>
      </w:r>
      <w:r w:rsidRPr="007F49F8">
        <w:rPr>
          <w:rFonts w:ascii="Seaford" w:hAnsi="Seaford"/>
          <w:sz w:val="22"/>
          <w:szCs w:val="22"/>
        </w:rPr>
        <w:t xml:space="preserve"> it is clear, based on rapidly rising labor costs, that CMS’ current method for updating the market basket is ill-suited </w:t>
      </w:r>
      <w:r w:rsidR="004A4CA7">
        <w:rPr>
          <w:rFonts w:ascii="Seaford" w:hAnsi="Seaford"/>
          <w:sz w:val="22"/>
          <w:szCs w:val="22"/>
        </w:rPr>
        <w:t xml:space="preserve">for </w:t>
      </w:r>
      <w:r w:rsidRPr="007F49F8">
        <w:rPr>
          <w:rFonts w:ascii="Seaford" w:hAnsi="Seaford"/>
          <w:sz w:val="22"/>
          <w:szCs w:val="22"/>
        </w:rPr>
        <w:t xml:space="preserve">adjusting Medicare payments in a highly inflationary environment. </w:t>
      </w:r>
      <w:r w:rsidRPr="007F49F8">
        <w:rPr>
          <w:rFonts w:ascii="Seaford" w:hAnsi="Seaford"/>
          <w:b/>
          <w:bCs/>
          <w:sz w:val="22"/>
          <w:szCs w:val="22"/>
        </w:rPr>
        <w:t xml:space="preserve">Therefore, we ask CMS to consider other methods and data sources to calculate the final rule “base” (before additional adjustments) market basket update that would better reflect the rapidly increasing input prices facing </w:t>
      </w:r>
      <w:r w:rsidR="004A4CA7">
        <w:rPr>
          <w:rFonts w:ascii="Seaford" w:hAnsi="Seaford"/>
          <w:b/>
          <w:bCs/>
          <w:sz w:val="22"/>
          <w:szCs w:val="22"/>
        </w:rPr>
        <w:t>HHAs</w:t>
      </w:r>
      <w:r w:rsidRPr="007F49F8">
        <w:rPr>
          <w:rFonts w:ascii="Seaford" w:hAnsi="Seaford"/>
          <w:b/>
          <w:bCs/>
          <w:sz w:val="22"/>
          <w:szCs w:val="22"/>
        </w:rPr>
        <w:t>.</w:t>
      </w:r>
      <w:r w:rsidRPr="007F49F8">
        <w:rPr>
          <w:rFonts w:ascii="Seaford" w:hAnsi="Seaford"/>
          <w:sz w:val="22"/>
          <w:szCs w:val="22"/>
        </w:rPr>
        <w:t xml:space="preserve"> If CMS fails to provide an adequate market basket update, CHA is deeply concerned about access to </w:t>
      </w:r>
      <w:r w:rsidR="004A4CA7">
        <w:rPr>
          <w:rFonts w:ascii="Seaford" w:hAnsi="Seaford"/>
          <w:sz w:val="22"/>
          <w:szCs w:val="22"/>
        </w:rPr>
        <w:t>HH</w:t>
      </w:r>
      <w:r w:rsidRPr="007F49F8">
        <w:rPr>
          <w:rFonts w:ascii="Seaford" w:hAnsi="Seaford"/>
          <w:sz w:val="22"/>
          <w:szCs w:val="22"/>
        </w:rPr>
        <w:t xml:space="preserve"> services for Medicare beneficiaries.  </w:t>
      </w:r>
    </w:p>
    <w:p w14:paraId="3530A55F" w14:textId="77777777" w:rsidR="007F46C1" w:rsidRPr="007F49F8" w:rsidRDefault="007F46C1" w:rsidP="007F46C1">
      <w:pPr>
        <w:rPr>
          <w:rFonts w:ascii="Seaford" w:hAnsi="Seaford"/>
          <w:sz w:val="22"/>
          <w:szCs w:val="22"/>
        </w:rPr>
      </w:pPr>
      <w:r w:rsidRPr="007F49F8">
        <w:rPr>
          <w:rFonts w:ascii="Seaford" w:hAnsi="Seaford"/>
          <w:sz w:val="22"/>
          <w:szCs w:val="22"/>
        </w:rPr>
        <w:t xml:space="preserve"> </w:t>
      </w:r>
    </w:p>
    <w:p w14:paraId="264508DA" w14:textId="77777777" w:rsidR="007F46C1" w:rsidRPr="00BE64DF" w:rsidRDefault="007F46C1" w:rsidP="007F46C1">
      <w:pPr>
        <w:pStyle w:val="Heading2"/>
        <w:jc w:val="left"/>
        <w:rPr>
          <w:rFonts w:ascii="Seaford" w:hAnsi="Seaford"/>
          <w:b/>
          <w:i w:val="0"/>
          <w:sz w:val="28"/>
          <w:szCs w:val="28"/>
        </w:rPr>
      </w:pPr>
      <w:r w:rsidRPr="00BE64DF">
        <w:rPr>
          <w:rFonts w:ascii="Seaford" w:hAnsi="Seaford"/>
          <w:b/>
          <w:i w:val="0"/>
          <w:sz w:val="28"/>
          <w:szCs w:val="28"/>
        </w:rPr>
        <w:lastRenderedPageBreak/>
        <w:t>Market Basket Update — Productivity Adjustment</w:t>
      </w:r>
    </w:p>
    <w:p w14:paraId="417156C8" w14:textId="34AE68DE" w:rsidR="007F46C1" w:rsidRPr="007F49F8" w:rsidRDefault="007F46C1" w:rsidP="007F46C1">
      <w:pPr>
        <w:rPr>
          <w:rFonts w:ascii="Seaford" w:hAnsi="Seaford"/>
          <w:sz w:val="22"/>
          <w:szCs w:val="22"/>
        </w:rPr>
      </w:pPr>
      <w:bookmarkStart w:id="1" w:name="_Hlk104293511"/>
      <w:r w:rsidRPr="007F49F8">
        <w:rPr>
          <w:rFonts w:ascii="Seaford" w:hAnsi="Seaford"/>
          <w:sz w:val="22"/>
          <w:szCs w:val="22"/>
        </w:rPr>
        <w:t>The productivity adjustment required under the ACA is estimated to be -0.4</w:t>
      </w:r>
      <w:r w:rsidRPr="007F49F8">
        <w:rPr>
          <w:rFonts w:ascii="Seaford" w:hAnsi="Seaford"/>
          <w:b/>
          <w:bCs/>
          <w:sz w:val="22"/>
          <w:szCs w:val="22"/>
        </w:rPr>
        <w:t xml:space="preserve"> </w:t>
      </w:r>
      <w:r w:rsidRPr="007F49F8">
        <w:rPr>
          <w:rFonts w:ascii="Seaford" w:hAnsi="Seaford"/>
          <w:sz w:val="22"/>
          <w:szCs w:val="22"/>
        </w:rPr>
        <w:t>percentage points. CMS uses the total factor productivity (TFP) adjustment as calculated by the Bureau of Labor Statistics. The adjustment is calculated, as it has been in the past, as the 10-year moving average of changes in TFP.</w:t>
      </w:r>
    </w:p>
    <w:bookmarkEnd w:id="1"/>
    <w:p w14:paraId="341B0A5A" w14:textId="77777777" w:rsidR="007F46C1" w:rsidRPr="007F49F8" w:rsidRDefault="007F46C1" w:rsidP="007F46C1">
      <w:pPr>
        <w:rPr>
          <w:rFonts w:ascii="Seaford" w:hAnsi="Seaford"/>
          <w:sz w:val="22"/>
          <w:szCs w:val="22"/>
        </w:rPr>
      </w:pPr>
    </w:p>
    <w:p w14:paraId="0C68F46B" w14:textId="77777777" w:rsidR="007F46C1" w:rsidRPr="007F49F8" w:rsidRDefault="007F46C1" w:rsidP="007F46C1">
      <w:pPr>
        <w:rPr>
          <w:rFonts w:ascii="Seaford" w:hAnsi="Seaford"/>
          <w:sz w:val="22"/>
          <w:szCs w:val="22"/>
        </w:rPr>
      </w:pPr>
      <w:r w:rsidRPr="007F49F8">
        <w:rPr>
          <w:rFonts w:ascii="Seaford" w:hAnsi="Seaford"/>
          <w:b/>
          <w:bCs/>
          <w:sz w:val="22"/>
          <w:szCs w:val="22"/>
        </w:rPr>
        <w:t xml:space="preserve">CHA believes the assumptions underpinning the productivity adjustment are fundamentally flawed. As such, we strongly disagree with the continuation of this punitive policy — particularly during the PHE. </w:t>
      </w:r>
      <w:r w:rsidRPr="007F49F8">
        <w:rPr>
          <w:rFonts w:ascii="Seaford" w:hAnsi="Seaford"/>
          <w:sz w:val="22"/>
          <w:szCs w:val="22"/>
        </w:rPr>
        <w:t>The productivity adjustment to the market basket update assumes that HHAs can increase overall productivity — producing more goods with the same or fewer units of labor input — at the same rate as increases in the broader economy. However, providing home-based care to patients is highly labor-intensive.</w:t>
      </w:r>
    </w:p>
    <w:p w14:paraId="3175588E" w14:textId="77777777" w:rsidR="007F46C1" w:rsidRPr="007F49F8" w:rsidRDefault="007F46C1" w:rsidP="007F46C1">
      <w:pPr>
        <w:rPr>
          <w:rFonts w:ascii="Seaford" w:hAnsi="Seaford"/>
          <w:sz w:val="22"/>
          <w:szCs w:val="22"/>
        </w:rPr>
      </w:pPr>
    </w:p>
    <w:p w14:paraId="7DD31573" w14:textId="08A39211" w:rsidR="007F46C1" w:rsidRPr="007F49F8" w:rsidRDefault="007F46C1" w:rsidP="007F46C1">
      <w:pPr>
        <w:rPr>
          <w:rFonts w:ascii="Seaford" w:hAnsi="Seaford"/>
          <w:b/>
          <w:bCs/>
          <w:sz w:val="22"/>
          <w:szCs w:val="22"/>
        </w:rPr>
      </w:pPr>
      <w:r w:rsidRPr="007F49F8">
        <w:rPr>
          <w:rFonts w:ascii="Seaford" w:hAnsi="Seaford"/>
          <w:sz w:val="22"/>
          <w:szCs w:val="22"/>
        </w:rPr>
        <w:t>This level of care must be provided on-site and has a high “hands-on” component. Therefore,</w:t>
      </w:r>
      <w:r w:rsidRPr="007F49F8">
        <w:rPr>
          <w:rFonts w:ascii="Seaford" w:hAnsi="Seaford"/>
          <w:b/>
          <w:bCs/>
          <w:sz w:val="22"/>
          <w:szCs w:val="22"/>
        </w:rPr>
        <w:t xml:space="preserve"> </w:t>
      </w:r>
      <w:r w:rsidRPr="007F49F8">
        <w:rPr>
          <w:rFonts w:ascii="Seaford" w:hAnsi="Seaford"/>
          <w:sz w:val="22"/>
          <w:szCs w:val="22"/>
        </w:rPr>
        <w:t xml:space="preserve">under the current regulatory structure, </w:t>
      </w:r>
      <w:r w:rsidR="00DF1026">
        <w:rPr>
          <w:rFonts w:ascii="Seaford" w:hAnsi="Seaford"/>
          <w:sz w:val="22"/>
          <w:szCs w:val="22"/>
        </w:rPr>
        <w:t>HHAs</w:t>
      </w:r>
      <w:r w:rsidRPr="007F49F8">
        <w:rPr>
          <w:rFonts w:ascii="Seaford" w:hAnsi="Seaford"/>
          <w:sz w:val="22"/>
          <w:szCs w:val="22"/>
        </w:rPr>
        <w:t xml:space="preserve"> cannot improve productivity using strategies like offshoring or automation that are common</w:t>
      </w:r>
      <w:r w:rsidR="008527A3">
        <w:rPr>
          <w:rFonts w:ascii="Seaford" w:hAnsi="Seaford"/>
          <w:sz w:val="22"/>
          <w:szCs w:val="22"/>
        </w:rPr>
        <w:t xml:space="preserve"> </w:t>
      </w:r>
      <w:r w:rsidRPr="007F49F8">
        <w:rPr>
          <w:rFonts w:ascii="Seaford" w:hAnsi="Seaford"/>
          <w:sz w:val="22"/>
          <w:szCs w:val="22"/>
        </w:rPr>
        <w:t xml:space="preserve">in other sectors of the economy that produce goods (auto manufacturing) or services (restaurants that use automated ordering systems to reduce overall staffing count). </w:t>
      </w:r>
    </w:p>
    <w:p w14:paraId="25EAE320" w14:textId="77777777" w:rsidR="007F46C1" w:rsidRPr="007F49F8" w:rsidRDefault="007F46C1" w:rsidP="007F46C1">
      <w:pPr>
        <w:rPr>
          <w:rFonts w:ascii="Seaford" w:hAnsi="Seaford"/>
          <w:sz w:val="22"/>
          <w:szCs w:val="22"/>
        </w:rPr>
      </w:pPr>
    </w:p>
    <w:p w14:paraId="3F181053" w14:textId="062755DE" w:rsidR="007F46C1" w:rsidRPr="007F49F8" w:rsidRDefault="007F46C1" w:rsidP="007F46C1">
      <w:pPr>
        <w:rPr>
          <w:rFonts w:ascii="Seaford" w:hAnsi="Seaford"/>
          <w:b/>
          <w:bCs/>
          <w:sz w:val="22"/>
          <w:szCs w:val="22"/>
        </w:rPr>
      </w:pPr>
      <w:r w:rsidRPr="007F49F8">
        <w:rPr>
          <w:rFonts w:ascii="Seaford" w:hAnsi="Seaford"/>
          <w:b/>
          <w:bCs/>
          <w:sz w:val="22"/>
          <w:szCs w:val="22"/>
        </w:rPr>
        <w:t xml:space="preserve">Given that CMS is required by statute to implement a productivity adjustment to the market basket update, CHA asks the agency to work with Congress to permanently eliminate this unjustified reduction </w:t>
      </w:r>
      <w:r w:rsidR="00AE3FB5">
        <w:rPr>
          <w:rFonts w:ascii="Seaford" w:hAnsi="Seaford"/>
          <w:b/>
          <w:bCs/>
          <w:sz w:val="22"/>
          <w:szCs w:val="22"/>
        </w:rPr>
        <w:t>in</w:t>
      </w:r>
      <w:r w:rsidR="00AE3FB5" w:rsidRPr="007F49F8">
        <w:rPr>
          <w:rFonts w:ascii="Seaford" w:hAnsi="Seaford"/>
          <w:b/>
          <w:bCs/>
          <w:sz w:val="22"/>
          <w:szCs w:val="22"/>
        </w:rPr>
        <w:t xml:space="preserve"> </w:t>
      </w:r>
      <w:r w:rsidRPr="007F49F8">
        <w:rPr>
          <w:rFonts w:ascii="Seaford" w:hAnsi="Seaford"/>
          <w:b/>
          <w:bCs/>
          <w:sz w:val="22"/>
          <w:szCs w:val="22"/>
        </w:rPr>
        <w:t xml:space="preserve">hospital payments. </w:t>
      </w:r>
    </w:p>
    <w:p w14:paraId="193727DB" w14:textId="77777777" w:rsidR="007F46C1" w:rsidRPr="007F49F8" w:rsidRDefault="007F46C1" w:rsidP="007F46C1">
      <w:pPr>
        <w:rPr>
          <w:rFonts w:ascii="Seaford" w:hAnsi="Seaford"/>
          <w:sz w:val="22"/>
          <w:szCs w:val="22"/>
        </w:rPr>
      </w:pPr>
    </w:p>
    <w:p w14:paraId="7400BF04" w14:textId="32ED0B42" w:rsidR="007F46C1" w:rsidRPr="00BE64DF" w:rsidRDefault="007F46C1" w:rsidP="007F46C1">
      <w:pPr>
        <w:rPr>
          <w:rFonts w:ascii="Seaford" w:hAnsi="Seaford"/>
          <w:b/>
          <w:bCs/>
          <w:sz w:val="28"/>
          <w:szCs w:val="28"/>
        </w:rPr>
      </w:pPr>
      <w:r w:rsidRPr="00BE64DF">
        <w:rPr>
          <w:rFonts w:ascii="Seaford" w:hAnsi="Seaford"/>
          <w:b/>
          <w:bCs/>
          <w:sz w:val="28"/>
          <w:szCs w:val="28"/>
        </w:rPr>
        <w:t>Proposed PDGM</w:t>
      </w:r>
      <w:r w:rsidR="00AE3FB5">
        <w:rPr>
          <w:rFonts w:ascii="Seaford" w:hAnsi="Seaford"/>
          <w:b/>
          <w:bCs/>
          <w:sz w:val="28"/>
          <w:szCs w:val="28"/>
        </w:rPr>
        <w:t xml:space="preserve"> ‘</w:t>
      </w:r>
      <w:r w:rsidRPr="00BE64DF">
        <w:rPr>
          <w:rFonts w:ascii="Seaford" w:hAnsi="Seaford"/>
          <w:b/>
          <w:bCs/>
          <w:sz w:val="28"/>
          <w:szCs w:val="28"/>
        </w:rPr>
        <w:t>Budget Neutrality</w:t>
      </w:r>
      <w:r w:rsidR="00AE3FB5">
        <w:rPr>
          <w:rFonts w:ascii="Seaford" w:hAnsi="Seaford"/>
          <w:b/>
          <w:bCs/>
          <w:sz w:val="28"/>
          <w:szCs w:val="28"/>
        </w:rPr>
        <w:t>’</w:t>
      </w:r>
      <w:r w:rsidRPr="00BE64DF">
        <w:rPr>
          <w:rFonts w:ascii="Seaford" w:hAnsi="Seaford"/>
          <w:b/>
          <w:bCs/>
          <w:sz w:val="28"/>
          <w:szCs w:val="28"/>
        </w:rPr>
        <w:t xml:space="preserve"> Adjustment </w:t>
      </w:r>
    </w:p>
    <w:p w14:paraId="5BAD0113" w14:textId="48B834EA" w:rsidR="007F46C1" w:rsidRPr="007F49F8" w:rsidRDefault="007F46C1" w:rsidP="007F46C1">
      <w:pPr>
        <w:rPr>
          <w:rFonts w:ascii="Seaford" w:hAnsi="Seaford"/>
          <w:sz w:val="22"/>
          <w:szCs w:val="22"/>
        </w:rPr>
      </w:pPr>
      <w:r w:rsidRPr="007F49F8">
        <w:rPr>
          <w:rFonts w:ascii="Seaford" w:hAnsi="Seaford"/>
          <w:sz w:val="22"/>
          <w:szCs w:val="22"/>
        </w:rPr>
        <w:t xml:space="preserve">CMS is required by law to determine the impact of differences between assumed and actual behavior on estimated aggregate expenditures, beginning in CY 2020 and ending with CY 2026, and make permanent and temporary adjustments as necessary. To comply with the statutory requirements, the agency analyzed the CY 2020 and CY 2021 30-day payment rates to account for changes in actual versus assumed behavior that would have caused payments to be different than what </w:t>
      </w:r>
      <w:r w:rsidR="007903D4">
        <w:rPr>
          <w:rFonts w:ascii="Seaford" w:hAnsi="Seaford"/>
          <w:sz w:val="22"/>
          <w:szCs w:val="22"/>
        </w:rPr>
        <w:t>was</w:t>
      </w:r>
      <w:r w:rsidR="007903D4" w:rsidRPr="007F49F8">
        <w:rPr>
          <w:rFonts w:ascii="Seaford" w:hAnsi="Seaford"/>
          <w:sz w:val="22"/>
          <w:szCs w:val="22"/>
        </w:rPr>
        <w:t xml:space="preserve"> </w:t>
      </w:r>
      <w:r w:rsidRPr="007F49F8">
        <w:rPr>
          <w:rFonts w:ascii="Seaford" w:hAnsi="Seaford"/>
          <w:sz w:val="22"/>
          <w:szCs w:val="22"/>
        </w:rPr>
        <w:t xml:space="preserve">finalized for those two years. </w:t>
      </w:r>
    </w:p>
    <w:p w14:paraId="170F233A" w14:textId="77777777" w:rsidR="007F46C1" w:rsidRPr="007F49F8" w:rsidRDefault="007F46C1" w:rsidP="007F46C1">
      <w:pPr>
        <w:rPr>
          <w:rFonts w:ascii="Seaford" w:hAnsi="Seaford"/>
          <w:sz w:val="22"/>
          <w:szCs w:val="22"/>
        </w:rPr>
      </w:pPr>
    </w:p>
    <w:p w14:paraId="3AC71C12" w14:textId="77777777" w:rsidR="007F46C1" w:rsidRPr="007F49F8" w:rsidRDefault="007F46C1" w:rsidP="007F46C1">
      <w:pPr>
        <w:rPr>
          <w:rFonts w:ascii="Seaford" w:hAnsi="Seaford"/>
          <w:sz w:val="22"/>
          <w:szCs w:val="22"/>
        </w:rPr>
      </w:pPr>
      <w:r w:rsidRPr="007F49F8">
        <w:rPr>
          <w:rFonts w:ascii="Seaford" w:hAnsi="Seaford"/>
          <w:sz w:val="22"/>
          <w:szCs w:val="22"/>
        </w:rPr>
        <w:t xml:space="preserve">Based on claims data, CMS found that the CY 2020 30-day payment rate with actual behavior changes would be $1,742.52, compared to $1,864.03 when using the assumed behavioral changes that had been adopted in the CY 2020 final rule. Using this new CY 2020 rate, CMS recalculated a CY 2021 30-day payment rate of $1,777.19, using the adopted update factors and with assumed behavior changes from the CY 2021 final rule. </w:t>
      </w:r>
    </w:p>
    <w:p w14:paraId="038CBAA1" w14:textId="77777777" w:rsidR="007F46C1" w:rsidRPr="007F49F8" w:rsidRDefault="007F46C1" w:rsidP="007F46C1">
      <w:pPr>
        <w:rPr>
          <w:rFonts w:ascii="Seaford" w:hAnsi="Seaford"/>
          <w:sz w:val="22"/>
          <w:szCs w:val="22"/>
        </w:rPr>
      </w:pPr>
    </w:p>
    <w:p w14:paraId="48E06F08" w14:textId="5DD2C22F" w:rsidR="007F46C1" w:rsidRPr="007F49F8" w:rsidRDefault="007F46C1" w:rsidP="007F46C1">
      <w:pPr>
        <w:rPr>
          <w:rFonts w:ascii="Seaford" w:hAnsi="Seaford"/>
          <w:sz w:val="22"/>
          <w:szCs w:val="22"/>
        </w:rPr>
      </w:pPr>
      <w:r w:rsidRPr="007F49F8">
        <w:rPr>
          <w:rFonts w:ascii="Seaford" w:hAnsi="Seaford"/>
          <w:sz w:val="22"/>
          <w:szCs w:val="22"/>
        </w:rPr>
        <w:t xml:space="preserve">CMS then analyzed CY 2021 claims data to determine a 30-day payment rate of $1,754.99 to account for actual behavior changes, which is -7.69% lower than the adopted CY 2021 rate of $1,901.12. As a result, CMS proposes to apply a permanent adjustment of 0.9231 to the CY 2023 base payment rate to prevent the need for </w:t>
      </w:r>
      <w:r w:rsidR="007C46AF">
        <w:rPr>
          <w:rFonts w:ascii="Seaford" w:hAnsi="Seaford"/>
          <w:sz w:val="22"/>
          <w:szCs w:val="22"/>
        </w:rPr>
        <w:t xml:space="preserve">a </w:t>
      </w:r>
      <w:r w:rsidRPr="007F49F8">
        <w:rPr>
          <w:rFonts w:ascii="Seaford" w:hAnsi="Seaford"/>
          <w:sz w:val="22"/>
          <w:szCs w:val="22"/>
        </w:rPr>
        <w:t xml:space="preserve">larger adjustment in future years. If finalized, this adjustment will reduce </w:t>
      </w:r>
      <w:r w:rsidR="000A67FC">
        <w:rPr>
          <w:rFonts w:ascii="Seaford" w:hAnsi="Seaford"/>
          <w:sz w:val="22"/>
          <w:szCs w:val="22"/>
        </w:rPr>
        <w:t>HHA</w:t>
      </w:r>
      <w:r w:rsidRPr="007F49F8">
        <w:rPr>
          <w:rFonts w:ascii="Seaford" w:hAnsi="Seaford"/>
          <w:sz w:val="22"/>
          <w:szCs w:val="22"/>
        </w:rPr>
        <w:t xml:space="preserve"> payments by approximately $2 billion. </w:t>
      </w:r>
    </w:p>
    <w:p w14:paraId="651056C0" w14:textId="77777777" w:rsidR="007F46C1" w:rsidRPr="007F49F8" w:rsidRDefault="007F46C1" w:rsidP="007F46C1">
      <w:pPr>
        <w:rPr>
          <w:rFonts w:ascii="Seaford" w:hAnsi="Seaford"/>
          <w:sz w:val="22"/>
          <w:szCs w:val="22"/>
        </w:rPr>
      </w:pPr>
    </w:p>
    <w:p w14:paraId="3EDD0394" w14:textId="677A42BB" w:rsidR="007F46C1" w:rsidRPr="007F49F8" w:rsidRDefault="007F46C1" w:rsidP="007F46C1">
      <w:pPr>
        <w:rPr>
          <w:rFonts w:ascii="Seaford" w:hAnsi="Seaford"/>
          <w:sz w:val="22"/>
          <w:szCs w:val="22"/>
        </w:rPr>
      </w:pPr>
      <w:r w:rsidRPr="007F49F8">
        <w:rPr>
          <w:rFonts w:ascii="Seaford" w:hAnsi="Seaford"/>
          <w:sz w:val="22"/>
          <w:szCs w:val="22"/>
        </w:rPr>
        <w:t xml:space="preserve">CHA appreciates the detailed discussion of CMS’ analysis related to the proposed </w:t>
      </w:r>
      <w:r w:rsidR="00E54ACE">
        <w:rPr>
          <w:rFonts w:ascii="Seaford" w:hAnsi="Seaford"/>
          <w:sz w:val="22"/>
          <w:szCs w:val="22"/>
        </w:rPr>
        <w:t>Patient-Driven Groupings Model (PDGM)</w:t>
      </w:r>
      <w:r w:rsidR="00E54ACE" w:rsidRPr="007F49F8">
        <w:rPr>
          <w:rFonts w:ascii="Seaford" w:hAnsi="Seaford"/>
          <w:sz w:val="22"/>
          <w:szCs w:val="22"/>
        </w:rPr>
        <w:t xml:space="preserve"> </w:t>
      </w:r>
      <w:r w:rsidRPr="007F49F8">
        <w:rPr>
          <w:rFonts w:ascii="Seaford" w:hAnsi="Seaford"/>
          <w:sz w:val="22"/>
          <w:szCs w:val="22"/>
        </w:rPr>
        <w:t xml:space="preserve">“budget neutrality” adjustment. </w:t>
      </w:r>
      <w:r w:rsidRPr="007F49F8">
        <w:rPr>
          <w:rFonts w:ascii="Seaford" w:hAnsi="Seaford"/>
          <w:b/>
          <w:bCs/>
          <w:sz w:val="22"/>
          <w:szCs w:val="22"/>
        </w:rPr>
        <w:t xml:space="preserve">However, we are deeply concerned that the methodology is badly flawed as it does not account for the reduction in therapy visits that resulted under the PDGM. </w:t>
      </w:r>
      <w:r w:rsidRPr="007F49F8">
        <w:rPr>
          <w:rFonts w:ascii="Seaford" w:hAnsi="Seaford"/>
          <w:sz w:val="22"/>
          <w:szCs w:val="22"/>
        </w:rPr>
        <w:t xml:space="preserve">Using a methodology that accurately accounts for the reduction in therapy visits </w:t>
      </w:r>
      <w:r w:rsidRPr="007F49F8">
        <w:rPr>
          <w:rFonts w:ascii="Seaford" w:hAnsi="Seaford"/>
          <w:sz w:val="22"/>
          <w:szCs w:val="22"/>
        </w:rPr>
        <w:lastRenderedPageBreak/>
        <w:t xml:space="preserve">analysis by Dobson </w:t>
      </w:r>
      <w:proofErr w:type="spellStart"/>
      <w:r w:rsidRPr="007F49F8">
        <w:rPr>
          <w:rFonts w:ascii="Seaford" w:hAnsi="Seaford"/>
          <w:sz w:val="22"/>
          <w:szCs w:val="22"/>
        </w:rPr>
        <w:t>DaVanzo</w:t>
      </w:r>
      <w:proofErr w:type="spellEnd"/>
      <w:r w:rsidRPr="007F49F8">
        <w:rPr>
          <w:rFonts w:ascii="Seaford" w:hAnsi="Seaford"/>
          <w:sz w:val="22"/>
          <w:szCs w:val="22"/>
        </w:rPr>
        <w:t xml:space="preserve"> of 2020 PDGM data finds that payments were 2.5% below budget neutral levels</w:t>
      </w:r>
      <w:r w:rsidRPr="007F49F8">
        <w:rPr>
          <w:rStyle w:val="FootnoteReference"/>
          <w:rFonts w:ascii="Seaford" w:hAnsi="Seaford"/>
          <w:sz w:val="22"/>
          <w:szCs w:val="22"/>
        </w:rPr>
        <w:footnoteReference w:id="3"/>
      </w:r>
      <w:r w:rsidRPr="007F49F8">
        <w:rPr>
          <w:rFonts w:ascii="Seaford" w:hAnsi="Seaford"/>
          <w:sz w:val="22"/>
          <w:szCs w:val="22"/>
        </w:rPr>
        <w:t xml:space="preserve">. </w:t>
      </w:r>
    </w:p>
    <w:p w14:paraId="3FDF19F6" w14:textId="77777777" w:rsidR="007F46C1" w:rsidRPr="007F49F8" w:rsidRDefault="007F46C1" w:rsidP="007F46C1">
      <w:pPr>
        <w:rPr>
          <w:rFonts w:ascii="Seaford" w:hAnsi="Seaford"/>
          <w:sz w:val="22"/>
          <w:szCs w:val="22"/>
        </w:rPr>
      </w:pPr>
    </w:p>
    <w:p w14:paraId="6CF3B9FF" w14:textId="77777777" w:rsidR="007F46C1" w:rsidRPr="007F49F8" w:rsidRDefault="007F46C1" w:rsidP="007F46C1">
      <w:pPr>
        <w:autoSpaceDE w:val="0"/>
        <w:autoSpaceDN w:val="0"/>
        <w:adjustRightInd w:val="0"/>
        <w:rPr>
          <w:rFonts w:ascii="Seaford" w:eastAsiaTheme="minorHAnsi" w:hAnsi="Seaford" w:cs="Calibri-Bold"/>
          <w:sz w:val="22"/>
          <w:szCs w:val="22"/>
          <w14:ligatures w14:val="standardContextual"/>
        </w:rPr>
      </w:pPr>
      <w:r w:rsidRPr="007F49F8">
        <w:rPr>
          <w:rFonts w:ascii="Seaford" w:eastAsiaTheme="minorHAnsi" w:hAnsi="Seaford" w:cs="Calibri-Bold"/>
          <w:sz w:val="22"/>
          <w:szCs w:val="22"/>
          <w14:ligatures w14:val="standardContextual"/>
        </w:rPr>
        <w:t xml:space="preserve">CHA notes that budget neutrality requires that the estimated aggregate HH PPS expenditures in CY 2020 are equal to the estimated aggregate expenditures that otherwise would have been made in the absence of the change to a 30-day unit of payment. To conduct its analysis, CMS used CY 2020 data to determine what payments would have been under the 153-group case-mix system and 60-day unit of payment. CMS determined the actual CY 2020 30-day base payment rate was higher than it would have been under the 60-day payment system. </w:t>
      </w:r>
    </w:p>
    <w:p w14:paraId="5D335E5A" w14:textId="77777777" w:rsidR="007F46C1" w:rsidRPr="007F49F8" w:rsidRDefault="007F46C1" w:rsidP="007F46C1">
      <w:pPr>
        <w:autoSpaceDE w:val="0"/>
        <w:autoSpaceDN w:val="0"/>
        <w:adjustRightInd w:val="0"/>
        <w:rPr>
          <w:rFonts w:ascii="Seaford" w:eastAsiaTheme="minorHAnsi" w:hAnsi="Seaford" w:cs="Calibri"/>
          <w:sz w:val="22"/>
          <w:szCs w:val="22"/>
          <w14:ligatures w14:val="standardContextual"/>
        </w:rPr>
      </w:pPr>
    </w:p>
    <w:p w14:paraId="16B78022" w14:textId="281A794A" w:rsidR="007F46C1" w:rsidRPr="007F49F8" w:rsidRDefault="007F46C1" w:rsidP="007F46C1">
      <w:pPr>
        <w:autoSpaceDE w:val="0"/>
        <w:autoSpaceDN w:val="0"/>
        <w:adjustRightInd w:val="0"/>
        <w:rPr>
          <w:rFonts w:ascii="Seaford" w:eastAsiaTheme="minorHAnsi" w:hAnsi="Seaford" w:cs="Calibri"/>
          <w:sz w:val="22"/>
          <w:szCs w:val="22"/>
          <w14:ligatures w14:val="standardContextual"/>
        </w:rPr>
      </w:pPr>
      <w:r w:rsidRPr="007F49F8">
        <w:rPr>
          <w:rFonts w:ascii="Seaford" w:eastAsiaTheme="minorHAnsi" w:hAnsi="Seaford" w:cs="Calibri"/>
          <w:sz w:val="22"/>
          <w:szCs w:val="22"/>
          <w14:ligatures w14:val="standardContextual"/>
        </w:rPr>
        <w:t xml:space="preserve">However, the methodology used by CMS is inaccurate. Under the 60-day system, </w:t>
      </w:r>
      <w:proofErr w:type="spellStart"/>
      <w:r w:rsidRPr="007F49F8">
        <w:rPr>
          <w:rFonts w:ascii="Seaford" w:eastAsiaTheme="minorHAnsi" w:hAnsi="Seaford" w:cs="Calibri"/>
          <w:sz w:val="22"/>
          <w:szCs w:val="22"/>
          <w14:ligatures w14:val="standardContextual"/>
        </w:rPr>
        <w:t>casemix</w:t>
      </w:r>
      <w:proofErr w:type="spellEnd"/>
      <w:r w:rsidRPr="007F49F8">
        <w:rPr>
          <w:rFonts w:ascii="Seaford" w:eastAsiaTheme="minorHAnsi" w:hAnsi="Seaford" w:cs="Calibri"/>
          <w:sz w:val="22"/>
          <w:szCs w:val="22"/>
          <w14:ligatures w14:val="standardContextual"/>
        </w:rPr>
        <w:t xml:space="preserve"> and payments are largely driven by therapy visits, while the PDGM </w:t>
      </w:r>
      <w:proofErr w:type="spellStart"/>
      <w:r w:rsidRPr="007F49F8">
        <w:rPr>
          <w:rFonts w:ascii="Seaford" w:eastAsiaTheme="minorHAnsi" w:hAnsi="Seaford" w:cs="Calibri"/>
          <w:sz w:val="22"/>
          <w:szCs w:val="22"/>
          <w14:ligatures w14:val="standardContextual"/>
        </w:rPr>
        <w:t>casemix</w:t>
      </w:r>
      <w:proofErr w:type="spellEnd"/>
      <w:r w:rsidRPr="007F49F8">
        <w:rPr>
          <w:rFonts w:ascii="Seaford" w:eastAsiaTheme="minorHAnsi" w:hAnsi="Seaford" w:cs="Calibri"/>
          <w:sz w:val="22"/>
          <w:szCs w:val="22"/>
          <w14:ligatures w14:val="standardContextual"/>
        </w:rPr>
        <w:t xml:space="preserve"> and payments rely on clinical characteristics. One of the most significant changes in moving from the </w:t>
      </w:r>
      <w:r w:rsidR="00E2170E">
        <w:rPr>
          <w:rFonts w:ascii="Seaford" w:eastAsiaTheme="minorHAnsi" w:hAnsi="Seaford" w:cs="Calibri"/>
          <w:sz w:val="22"/>
          <w:szCs w:val="22"/>
          <w14:ligatures w14:val="standardContextual"/>
        </w:rPr>
        <w:t>Home Health Resource Group t</w:t>
      </w:r>
      <w:r w:rsidRPr="007F49F8">
        <w:rPr>
          <w:rFonts w:ascii="Seaford" w:eastAsiaTheme="minorHAnsi" w:hAnsi="Seaford" w:cs="Calibri"/>
          <w:sz w:val="22"/>
          <w:szCs w:val="22"/>
          <w14:ligatures w14:val="standardContextual"/>
        </w:rPr>
        <w:t xml:space="preserve">o PDGM system was that therapy thresholds were eliminated under the new model. As a result, when PDGM was implemented, it was accompanied by an approximately 30% payment-driven drop in therapy utilization.  The natural result of this is much lower calculated budget neutral payments when CY 2020 data are repriced under the 60-day payment system. As CMS acknowledges in the 2023 </w:t>
      </w:r>
      <w:r w:rsidR="00D07AC8">
        <w:rPr>
          <w:rFonts w:ascii="Seaford" w:eastAsiaTheme="minorHAnsi" w:hAnsi="Seaford" w:cs="Calibri"/>
          <w:sz w:val="22"/>
          <w:szCs w:val="22"/>
          <w14:ligatures w14:val="standardContextual"/>
        </w:rPr>
        <w:t>skilled-nursing facility</w:t>
      </w:r>
      <w:r w:rsidR="00D07AC8" w:rsidRPr="007F49F8">
        <w:rPr>
          <w:rFonts w:ascii="Seaford" w:eastAsiaTheme="minorHAnsi" w:hAnsi="Seaford" w:cs="Calibri"/>
          <w:sz w:val="22"/>
          <w:szCs w:val="22"/>
          <w14:ligatures w14:val="standardContextual"/>
        </w:rPr>
        <w:t xml:space="preserve"> </w:t>
      </w:r>
      <w:r w:rsidRPr="007F49F8">
        <w:rPr>
          <w:rFonts w:ascii="Seaford" w:eastAsiaTheme="minorHAnsi" w:hAnsi="Seaford" w:cs="Calibri"/>
          <w:sz w:val="22"/>
          <w:szCs w:val="22"/>
          <w14:ligatures w14:val="standardContextual"/>
        </w:rPr>
        <w:t>proposed rule, failing to account for changes in the provision of therapy services leads to an overcorrection</w:t>
      </w:r>
      <w:r w:rsidRPr="007F49F8">
        <w:rPr>
          <w:rStyle w:val="FootnoteReference"/>
          <w:rFonts w:ascii="Seaford" w:eastAsiaTheme="minorHAnsi" w:hAnsi="Seaford" w:cs="Calibri"/>
          <w:sz w:val="22"/>
          <w:szCs w:val="22"/>
          <w14:ligatures w14:val="standardContextual"/>
        </w:rPr>
        <w:footnoteReference w:id="4"/>
      </w:r>
      <w:r w:rsidRPr="007F49F8">
        <w:rPr>
          <w:rFonts w:ascii="Seaford" w:eastAsiaTheme="minorHAnsi" w:hAnsi="Seaford" w:cs="Calibri"/>
          <w:sz w:val="22"/>
          <w:szCs w:val="22"/>
          <w14:ligatures w14:val="standardContextual"/>
        </w:rPr>
        <w:t xml:space="preserve">. </w:t>
      </w:r>
    </w:p>
    <w:p w14:paraId="18BB5F3D" w14:textId="77777777" w:rsidR="007F46C1" w:rsidRPr="007F49F8" w:rsidRDefault="007F46C1" w:rsidP="007F46C1">
      <w:pPr>
        <w:autoSpaceDE w:val="0"/>
        <w:autoSpaceDN w:val="0"/>
        <w:adjustRightInd w:val="0"/>
        <w:rPr>
          <w:rFonts w:ascii="Seaford" w:eastAsiaTheme="minorHAnsi" w:hAnsi="Seaford" w:cs="Calibri"/>
          <w:sz w:val="22"/>
          <w:szCs w:val="22"/>
          <w14:ligatures w14:val="standardContextual"/>
        </w:rPr>
      </w:pPr>
    </w:p>
    <w:p w14:paraId="694995AB" w14:textId="53D7304A" w:rsidR="00CF641D" w:rsidRPr="007F49F8" w:rsidRDefault="007F46C1" w:rsidP="00CF641D">
      <w:pPr>
        <w:autoSpaceDE w:val="0"/>
        <w:autoSpaceDN w:val="0"/>
        <w:adjustRightInd w:val="0"/>
        <w:rPr>
          <w:rFonts w:ascii="Seaford" w:hAnsi="Seaford" w:cstheme="minorHAnsi"/>
          <w:sz w:val="22"/>
          <w:szCs w:val="22"/>
        </w:rPr>
      </w:pPr>
      <w:r w:rsidRPr="007F49F8">
        <w:rPr>
          <w:rFonts w:ascii="Seaford" w:eastAsiaTheme="minorHAnsi" w:hAnsi="Seaford" w:cs="Calibri"/>
          <w:b/>
          <w:bCs/>
          <w:sz w:val="22"/>
          <w:szCs w:val="22"/>
          <w14:ligatures w14:val="standardContextual"/>
        </w:rPr>
        <w:t xml:space="preserve">CHA asks CMS to delay any budget neutrality adjustment until after it has analyzed the 2020 home health data using a model that properly accounts for the changes in therapy provision. </w:t>
      </w:r>
      <w:r w:rsidRPr="007F49F8">
        <w:rPr>
          <w:rFonts w:ascii="Seaford" w:eastAsiaTheme="minorHAnsi" w:hAnsi="Seaford" w:cs="Calibri"/>
          <w:sz w:val="22"/>
          <w:szCs w:val="22"/>
          <w14:ligatures w14:val="standardContextual"/>
        </w:rPr>
        <w:t xml:space="preserve">If the preliminary analysis by </w:t>
      </w:r>
      <w:proofErr w:type="spellStart"/>
      <w:r w:rsidRPr="007F49F8">
        <w:rPr>
          <w:rFonts w:ascii="Seaford" w:eastAsiaTheme="minorHAnsi" w:hAnsi="Seaford" w:cs="Calibri"/>
          <w:sz w:val="22"/>
          <w:szCs w:val="22"/>
          <w14:ligatures w14:val="standardContextual"/>
        </w:rPr>
        <w:t>Dabson</w:t>
      </w:r>
      <w:proofErr w:type="spellEnd"/>
      <w:r w:rsidRPr="007F49F8">
        <w:rPr>
          <w:rFonts w:ascii="Seaford" w:eastAsiaTheme="minorHAnsi" w:hAnsi="Seaford" w:cs="Calibri"/>
          <w:sz w:val="22"/>
          <w:szCs w:val="22"/>
          <w14:ligatures w14:val="standardContextual"/>
        </w:rPr>
        <w:t xml:space="preserve"> </w:t>
      </w:r>
      <w:proofErr w:type="spellStart"/>
      <w:r w:rsidRPr="007F49F8">
        <w:rPr>
          <w:rFonts w:ascii="Seaford" w:eastAsiaTheme="minorHAnsi" w:hAnsi="Seaford" w:cs="Calibri"/>
          <w:sz w:val="22"/>
          <w:szCs w:val="22"/>
          <w14:ligatures w14:val="standardContextual"/>
        </w:rPr>
        <w:t>DaVanzo</w:t>
      </w:r>
      <w:proofErr w:type="spellEnd"/>
      <w:r w:rsidRPr="007F49F8">
        <w:rPr>
          <w:rFonts w:ascii="Seaford" w:eastAsiaTheme="minorHAnsi" w:hAnsi="Seaford" w:cs="Calibri"/>
          <w:sz w:val="22"/>
          <w:szCs w:val="22"/>
          <w14:ligatures w14:val="standardContextual"/>
        </w:rPr>
        <w:t xml:space="preserve"> is confirmed, we ask CMS to take corrective action to increase rates by the amount </w:t>
      </w:r>
      <w:r w:rsidR="0032780A">
        <w:rPr>
          <w:rFonts w:ascii="Seaford" w:eastAsiaTheme="minorHAnsi" w:hAnsi="Seaford" w:cs="Calibri"/>
          <w:sz w:val="22"/>
          <w:szCs w:val="22"/>
          <w14:ligatures w14:val="standardContextual"/>
        </w:rPr>
        <w:t>HHAs</w:t>
      </w:r>
      <w:r w:rsidRPr="007F49F8">
        <w:rPr>
          <w:rFonts w:ascii="Seaford" w:eastAsiaTheme="minorHAnsi" w:hAnsi="Seaford" w:cs="Calibri"/>
          <w:sz w:val="22"/>
          <w:szCs w:val="22"/>
          <w14:ligatures w14:val="standardContextual"/>
        </w:rPr>
        <w:t xml:space="preserve"> have been underpaid as required by the Bipartisan Budget Act</w:t>
      </w:r>
      <w:r w:rsidR="00CF641D" w:rsidRPr="007F49F8">
        <w:rPr>
          <w:rFonts w:ascii="Seaford" w:eastAsiaTheme="minorHAnsi" w:hAnsi="Seaford" w:cs="Calibri"/>
          <w:sz w:val="22"/>
          <w:szCs w:val="22"/>
          <w14:ligatures w14:val="standardContextual"/>
        </w:rPr>
        <w:t xml:space="preserve">, and we </w:t>
      </w:r>
      <w:r w:rsidR="00CF641D" w:rsidRPr="007F49F8">
        <w:rPr>
          <w:rFonts w:ascii="Seaford" w:hAnsi="Seaford" w:cs="Calibri"/>
          <w:color w:val="000000"/>
          <w:sz w:val="22"/>
          <w:szCs w:val="22"/>
        </w:rPr>
        <w:t>reiterate our previous requests that CMS provide additional information and data to support its current assumptions about the impact of provider behavior changes on payment</w:t>
      </w:r>
      <w:r w:rsidR="00204761">
        <w:rPr>
          <w:rFonts w:ascii="Seaford" w:hAnsi="Seaford" w:cs="Calibri"/>
          <w:color w:val="000000"/>
          <w:sz w:val="22"/>
          <w:szCs w:val="22"/>
        </w:rPr>
        <w:t>.</w:t>
      </w:r>
      <w:r w:rsidR="00CF641D" w:rsidRPr="007F49F8">
        <w:rPr>
          <w:rFonts w:ascii="Seaford" w:hAnsi="Seaford" w:cs="Calibri"/>
          <w:color w:val="000000"/>
          <w:sz w:val="22"/>
          <w:szCs w:val="22"/>
        </w:rPr>
        <w:t xml:space="preserve"> </w:t>
      </w:r>
      <w:r w:rsidR="00204761">
        <w:rPr>
          <w:rFonts w:ascii="Seaford" w:hAnsi="Seaford" w:cs="Calibri"/>
          <w:color w:val="000000"/>
          <w:sz w:val="22"/>
          <w:szCs w:val="22"/>
        </w:rPr>
        <w:t xml:space="preserve">This </w:t>
      </w:r>
      <w:r w:rsidR="00CF641D" w:rsidRPr="007F49F8">
        <w:rPr>
          <w:rFonts w:ascii="Seaford" w:hAnsi="Seaford" w:cs="Calibri"/>
          <w:color w:val="000000"/>
          <w:sz w:val="22"/>
          <w:szCs w:val="22"/>
        </w:rPr>
        <w:t>includ</w:t>
      </w:r>
      <w:r w:rsidR="00204761">
        <w:rPr>
          <w:rFonts w:ascii="Seaford" w:hAnsi="Seaford" w:cs="Calibri"/>
          <w:color w:val="000000"/>
          <w:sz w:val="22"/>
          <w:szCs w:val="22"/>
        </w:rPr>
        <w:t>es</w:t>
      </w:r>
      <w:r w:rsidR="00CF641D" w:rsidRPr="007F49F8">
        <w:rPr>
          <w:rFonts w:ascii="Seaford" w:hAnsi="Seaford" w:cs="Calibri"/>
          <w:color w:val="000000"/>
          <w:sz w:val="22"/>
          <w:szCs w:val="22"/>
        </w:rPr>
        <w:t xml:space="preserve"> an analysis of the projected impact on different types of HHAs, including </w:t>
      </w:r>
      <w:proofErr w:type="gramStart"/>
      <w:r w:rsidR="00CF641D" w:rsidRPr="007F49F8">
        <w:rPr>
          <w:rFonts w:ascii="Seaford" w:hAnsi="Seaford" w:cs="Calibri"/>
          <w:color w:val="000000"/>
          <w:sz w:val="22"/>
          <w:szCs w:val="22"/>
        </w:rPr>
        <w:t>hospital-based</w:t>
      </w:r>
      <w:proofErr w:type="gramEnd"/>
      <w:r w:rsidR="00CF641D" w:rsidRPr="007F49F8">
        <w:rPr>
          <w:rFonts w:ascii="Seaford" w:hAnsi="Seaford" w:cs="Calibri"/>
          <w:color w:val="000000"/>
          <w:sz w:val="22"/>
          <w:szCs w:val="22"/>
        </w:rPr>
        <w:t xml:space="preserve"> HHAs. </w:t>
      </w:r>
    </w:p>
    <w:p w14:paraId="46FFB137" w14:textId="77777777" w:rsidR="00CF641D" w:rsidRPr="007F49F8" w:rsidRDefault="00CF641D" w:rsidP="00CF641D">
      <w:pPr>
        <w:pStyle w:val="BodyText"/>
        <w:tabs>
          <w:tab w:val="left" w:pos="9180"/>
        </w:tabs>
        <w:kinsoku w:val="0"/>
        <w:overflowPunct w:val="0"/>
        <w:rPr>
          <w:rFonts w:ascii="Seaford" w:hAnsi="Seaford" w:cstheme="minorHAnsi"/>
          <w:b/>
          <w:bCs w:val="0"/>
          <w:sz w:val="22"/>
          <w:szCs w:val="22"/>
        </w:rPr>
      </w:pPr>
    </w:p>
    <w:p w14:paraId="6132DF4B" w14:textId="77777777" w:rsidR="00A1337C" w:rsidRPr="009F4681" w:rsidRDefault="00A1337C" w:rsidP="00A1337C">
      <w:pPr>
        <w:pStyle w:val="Default"/>
        <w:rPr>
          <w:rFonts w:ascii="Seaford" w:eastAsia="Times New Roman" w:hAnsi="Seaford"/>
          <w:b/>
          <w:bCs/>
          <w:color w:val="auto"/>
        </w:rPr>
      </w:pPr>
      <w:r w:rsidRPr="00457018">
        <w:rPr>
          <w:rFonts w:ascii="Seaford" w:eastAsia="Times New Roman" w:hAnsi="Seaford"/>
          <w:b/>
          <w:bCs/>
          <w:color w:val="auto"/>
          <w:sz w:val="28"/>
          <w:szCs w:val="28"/>
        </w:rPr>
        <w:t>Functional Impairment Levels</w:t>
      </w:r>
    </w:p>
    <w:p w14:paraId="77AD1968" w14:textId="485965C4" w:rsidR="00A1337C" w:rsidRPr="007F49F8" w:rsidRDefault="00A1337C" w:rsidP="00A1337C">
      <w:pPr>
        <w:pStyle w:val="Default"/>
        <w:rPr>
          <w:rFonts w:ascii="Seaford" w:hAnsi="Seaford" w:cs="Calibri"/>
          <w:sz w:val="22"/>
          <w:szCs w:val="22"/>
        </w:rPr>
      </w:pPr>
      <w:r w:rsidRPr="007F49F8">
        <w:rPr>
          <w:rFonts w:ascii="Seaford" w:hAnsi="Seaford" w:cs="Calibri"/>
          <w:sz w:val="22"/>
          <w:szCs w:val="22"/>
        </w:rPr>
        <w:t xml:space="preserve">Under the PDGM, the functional impairment level is determined by responses to certain OASIS items associated with activities of daily living and </w:t>
      </w:r>
      <w:r w:rsidR="007C2F3A">
        <w:rPr>
          <w:rFonts w:ascii="Seaford" w:hAnsi="Seaford" w:cs="Calibri"/>
          <w:sz w:val="22"/>
          <w:szCs w:val="22"/>
        </w:rPr>
        <w:t xml:space="preserve">the </w:t>
      </w:r>
      <w:r w:rsidRPr="007F49F8">
        <w:rPr>
          <w:rFonts w:ascii="Seaford" w:hAnsi="Seaford" w:cs="Calibri"/>
          <w:sz w:val="22"/>
          <w:szCs w:val="22"/>
        </w:rPr>
        <w:t xml:space="preserve">risk of hospitalization. A </w:t>
      </w:r>
      <w:r w:rsidR="00824877">
        <w:rPr>
          <w:rFonts w:ascii="Seaford" w:hAnsi="Seaford" w:cs="Calibri"/>
          <w:sz w:val="22"/>
          <w:szCs w:val="22"/>
        </w:rPr>
        <w:t>HH</w:t>
      </w:r>
      <w:r w:rsidRPr="007F49F8">
        <w:rPr>
          <w:rFonts w:ascii="Seaford" w:hAnsi="Seaford" w:cs="Calibri"/>
          <w:sz w:val="22"/>
          <w:szCs w:val="22"/>
        </w:rPr>
        <w:t xml:space="preserve"> period of care receives points based on responses from these functional OASIS items, which are converted to a table of points. The sum of all these points is used to group </w:t>
      </w:r>
      <w:r w:rsidR="00E73C53">
        <w:rPr>
          <w:rFonts w:ascii="Seaford" w:hAnsi="Seaford" w:cs="Calibri"/>
          <w:sz w:val="22"/>
          <w:szCs w:val="22"/>
        </w:rPr>
        <w:t>HH</w:t>
      </w:r>
      <w:r w:rsidRPr="007F49F8">
        <w:rPr>
          <w:rFonts w:ascii="Seaford" w:hAnsi="Seaford" w:cs="Calibri"/>
          <w:sz w:val="22"/>
          <w:szCs w:val="22"/>
        </w:rPr>
        <w:t xml:space="preserve"> periods into low, medium, and high functional impairment levels, designed so that about one-third of home health periods fall within each level. For 2023, CMS proposes to use the 2021 claims data to update the functional points and functional impairment levels by clinical </w:t>
      </w:r>
      <w:r w:rsidR="00E60A05" w:rsidRPr="007F49F8">
        <w:rPr>
          <w:rFonts w:ascii="Seaford" w:hAnsi="Seaford" w:cs="Calibri"/>
          <w:sz w:val="22"/>
          <w:szCs w:val="22"/>
        </w:rPr>
        <w:t>group and</w:t>
      </w:r>
      <w:r w:rsidRPr="007F49F8">
        <w:rPr>
          <w:rFonts w:ascii="Seaford" w:hAnsi="Seaford" w:cs="Calibri"/>
          <w:sz w:val="22"/>
          <w:szCs w:val="22"/>
        </w:rPr>
        <w:t xml:space="preserve"> use the same previously finalized methodology to update the functional impairment levels for CY 2023.  </w:t>
      </w:r>
    </w:p>
    <w:p w14:paraId="46B4B0D4" w14:textId="77777777" w:rsidR="00A1337C" w:rsidRPr="007F49F8" w:rsidRDefault="00A1337C" w:rsidP="00A1337C">
      <w:pPr>
        <w:pStyle w:val="Default"/>
        <w:rPr>
          <w:rFonts w:ascii="Seaford" w:hAnsi="Seaford" w:cs="Calibri"/>
          <w:sz w:val="22"/>
          <w:szCs w:val="22"/>
        </w:rPr>
      </w:pPr>
    </w:p>
    <w:p w14:paraId="1CF08D35" w14:textId="37C2FC7B" w:rsidR="00A1337C" w:rsidRPr="007F49F8" w:rsidRDefault="00A1337C" w:rsidP="00A1337C">
      <w:pPr>
        <w:pStyle w:val="Default"/>
        <w:rPr>
          <w:rFonts w:ascii="Seaford" w:hAnsi="Seaford" w:cs="Calibri"/>
          <w:sz w:val="22"/>
          <w:szCs w:val="22"/>
        </w:rPr>
      </w:pPr>
      <w:r w:rsidRPr="007F49F8">
        <w:rPr>
          <w:rFonts w:ascii="Seaford" w:hAnsi="Seaford" w:cs="Calibri"/>
          <w:sz w:val="22"/>
          <w:szCs w:val="22"/>
        </w:rPr>
        <w:t xml:space="preserve">CMS also reports on </w:t>
      </w:r>
      <w:r w:rsidR="00E73C53">
        <w:rPr>
          <w:rFonts w:ascii="Seaford" w:hAnsi="Seaford" w:cs="Calibri"/>
          <w:sz w:val="22"/>
          <w:szCs w:val="22"/>
        </w:rPr>
        <w:t>its</w:t>
      </w:r>
      <w:r w:rsidR="00E73C53" w:rsidRPr="007F49F8">
        <w:rPr>
          <w:rFonts w:ascii="Seaford" w:hAnsi="Seaford" w:cs="Calibri"/>
          <w:sz w:val="22"/>
          <w:szCs w:val="22"/>
        </w:rPr>
        <w:t xml:space="preserve"> </w:t>
      </w:r>
      <w:r w:rsidRPr="007F49F8">
        <w:rPr>
          <w:rFonts w:ascii="Seaford" w:hAnsi="Seaford" w:cs="Calibri"/>
          <w:sz w:val="22"/>
          <w:szCs w:val="22"/>
        </w:rPr>
        <w:t>analysis of the current functional items used for payment and analogous</w:t>
      </w:r>
      <w:r w:rsidR="00DB4E0C">
        <w:rPr>
          <w:rFonts w:ascii="Seaford" w:hAnsi="Seaford" w:cs="Calibri"/>
          <w:sz w:val="22"/>
          <w:szCs w:val="22"/>
        </w:rPr>
        <w:t xml:space="preserve"> Section</w:t>
      </w:r>
      <w:r w:rsidRPr="007F49F8">
        <w:rPr>
          <w:rFonts w:ascii="Seaford" w:hAnsi="Seaford" w:cs="Calibri"/>
          <w:sz w:val="22"/>
          <w:szCs w:val="22"/>
        </w:rPr>
        <w:t xml:space="preserve"> GG items</w:t>
      </w:r>
      <w:r w:rsidR="00DA3A2C" w:rsidRPr="007F49F8">
        <w:rPr>
          <w:rFonts w:ascii="Seaford" w:hAnsi="Seaford" w:cs="Calibri"/>
          <w:sz w:val="22"/>
          <w:szCs w:val="22"/>
        </w:rPr>
        <w:t>.</w:t>
      </w:r>
      <w:r w:rsidRPr="007F49F8">
        <w:rPr>
          <w:rFonts w:ascii="Seaford" w:hAnsi="Seaford" w:cs="Calibri"/>
          <w:sz w:val="22"/>
          <w:szCs w:val="22"/>
        </w:rPr>
        <w:t xml:space="preserve"> HHAs began collecting standardized patient assessment</w:t>
      </w:r>
      <w:r w:rsidR="00C90D2E" w:rsidRPr="007F49F8">
        <w:rPr>
          <w:rFonts w:ascii="Seaford" w:hAnsi="Seaford" w:cs="Calibri"/>
          <w:sz w:val="22"/>
          <w:szCs w:val="22"/>
        </w:rPr>
        <w:t xml:space="preserve"> </w:t>
      </w:r>
      <w:r w:rsidR="00DA3A2C" w:rsidRPr="007F49F8">
        <w:rPr>
          <w:rFonts w:ascii="Seaford" w:hAnsi="Seaford" w:cs="Calibri"/>
          <w:sz w:val="22"/>
          <w:szCs w:val="22"/>
        </w:rPr>
        <w:t xml:space="preserve">data </w:t>
      </w:r>
      <w:r w:rsidRPr="007F49F8">
        <w:rPr>
          <w:rFonts w:ascii="Seaford" w:hAnsi="Seaford" w:cs="Calibri"/>
          <w:sz w:val="22"/>
          <w:szCs w:val="22"/>
        </w:rPr>
        <w:t>addressing functional status in Section GG,</w:t>
      </w:r>
      <w:r w:rsidR="009852CC">
        <w:rPr>
          <w:rFonts w:ascii="Seaford" w:hAnsi="Seaford" w:cs="Calibri"/>
          <w:sz w:val="22"/>
          <w:szCs w:val="22"/>
        </w:rPr>
        <w:t xml:space="preserve"> </w:t>
      </w:r>
      <w:r w:rsidRPr="007F49F8">
        <w:rPr>
          <w:rFonts w:ascii="Seaford" w:hAnsi="Seaford" w:cs="Calibri"/>
          <w:sz w:val="22"/>
          <w:szCs w:val="22"/>
        </w:rPr>
        <w:t xml:space="preserve">as part of the OASIS beginning in January 2019.  </w:t>
      </w:r>
    </w:p>
    <w:p w14:paraId="5365FC13" w14:textId="7C2D0A48" w:rsidR="00A1337C" w:rsidRPr="007F49F8" w:rsidRDefault="00DA3A2C" w:rsidP="00A1337C">
      <w:pPr>
        <w:pStyle w:val="Default"/>
        <w:rPr>
          <w:rFonts w:ascii="Seaford" w:hAnsi="Seaford" w:cs="Calibri"/>
          <w:sz w:val="22"/>
          <w:szCs w:val="22"/>
        </w:rPr>
      </w:pPr>
      <w:r w:rsidRPr="007F49F8">
        <w:rPr>
          <w:rFonts w:ascii="Seaford" w:hAnsi="Seaford" w:cs="Calibri"/>
          <w:sz w:val="22"/>
          <w:szCs w:val="22"/>
        </w:rPr>
        <w:lastRenderedPageBreak/>
        <w:t xml:space="preserve">CMS says its analysis </w:t>
      </w:r>
      <w:r w:rsidR="00A1337C" w:rsidRPr="007F49F8">
        <w:rPr>
          <w:rFonts w:ascii="Seaford" w:hAnsi="Seaford" w:cs="Calibri"/>
          <w:sz w:val="22"/>
          <w:szCs w:val="22"/>
        </w:rPr>
        <w:t xml:space="preserve">continues to demonstrate a correlation </w:t>
      </w:r>
      <w:r w:rsidR="007F49F8" w:rsidRPr="007F49F8">
        <w:rPr>
          <w:rFonts w:ascii="Seaford" w:hAnsi="Seaford" w:cs="Calibri"/>
          <w:sz w:val="22"/>
          <w:szCs w:val="22"/>
        </w:rPr>
        <w:t xml:space="preserve">between the current responses to the M1800-1860 items and the GG items. However, CMS </w:t>
      </w:r>
      <w:r w:rsidR="00A1337C" w:rsidRPr="007F49F8">
        <w:rPr>
          <w:rFonts w:ascii="Seaford" w:hAnsi="Seaford" w:cs="Calibri"/>
          <w:sz w:val="22"/>
          <w:szCs w:val="22"/>
        </w:rPr>
        <w:t xml:space="preserve">notes that responses to Section GG items include a significant amount of Activity not Attempted responses, limiting </w:t>
      </w:r>
      <w:r w:rsidR="00765635">
        <w:rPr>
          <w:rFonts w:ascii="Seaford" w:hAnsi="Seaford" w:cs="Calibri"/>
          <w:sz w:val="22"/>
          <w:szCs w:val="22"/>
        </w:rPr>
        <w:t>its</w:t>
      </w:r>
      <w:r w:rsidR="00A1337C" w:rsidRPr="007F49F8">
        <w:rPr>
          <w:rFonts w:ascii="Seaford" w:hAnsi="Seaford" w:cs="Calibri"/>
          <w:sz w:val="22"/>
          <w:szCs w:val="22"/>
        </w:rPr>
        <w:t xml:space="preserve"> ability to map Section GG responses to corresponding M1800-1860 OASIS items. CMS continues to use the M1800 to 1860 items for case-mix purposes.  </w:t>
      </w:r>
    </w:p>
    <w:p w14:paraId="0A844C3B" w14:textId="77777777" w:rsidR="00A1337C" w:rsidRPr="007F49F8" w:rsidRDefault="00A1337C" w:rsidP="00A1337C">
      <w:pPr>
        <w:pStyle w:val="Default"/>
        <w:rPr>
          <w:rFonts w:ascii="Seaford" w:hAnsi="Seaford" w:cs="Calibri"/>
          <w:sz w:val="22"/>
          <w:szCs w:val="22"/>
        </w:rPr>
      </w:pPr>
    </w:p>
    <w:p w14:paraId="186E795F" w14:textId="744EC3EB" w:rsidR="00A1337C" w:rsidRPr="007F49F8" w:rsidRDefault="00A1337C" w:rsidP="008E45A8">
      <w:pPr>
        <w:pStyle w:val="Default"/>
        <w:rPr>
          <w:rFonts w:ascii="Seaford" w:hAnsi="Seaford" w:cs="Calibri"/>
          <w:sz w:val="22"/>
          <w:szCs w:val="22"/>
          <w14:ligatures w14:val="standardContextual"/>
        </w:rPr>
      </w:pPr>
      <w:r w:rsidRPr="007F49F8">
        <w:rPr>
          <w:rFonts w:ascii="Seaford" w:hAnsi="Seaford" w:cs="Calibri"/>
          <w:b/>
          <w:bCs/>
          <w:sz w:val="22"/>
          <w:szCs w:val="22"/>
        </w:rPr>
        <w:t>CHA appreciates CMS’ recognition of the limitations of the current data and supports its plan to continue for CY 2023 the use of existing OASIS items M1800-1860 for the purposes of case-mix and payment.</w:t>
      </w:r>
      <w:r w:rsidRPr="007F49F8">
        <w:rPr>
          <w:rFonts w:ascii="Seaford" w:hAnsi="Seaford" w:cs="Calibri"/>
          <w:sz w:val="22"/>
          <w:szCs w:val="22"/>
        </w:rPr>
        <w:t xml:space="preserve"> </w:t>
      </w:r>
      <w:r w:rsidR="00926F46" w:rsidRPr="007F49F8">
        <w:rPr>
          <w:rFonts w:ascii="Seaford" w:hAnsi="Seaford" w:cs="Calibri"/>
          <w:sz w:val="22"/>
          <w:szCs w:val="22"/>
        </w:rPr>
        <w:t xml:space="preserve">However, we </w:t>
      </w:r>
      <w:r w:rsidR="0011352B" w:rsidRPr="007F49F8">
        <w:rPr>
          <w:rFonts w:ascii="Seaford" w:hAnsi="Seaford" w:cs="Calibri"/>
          <w:sz w:val="22"/>
          <w:szCs w:val="22"/>
        </w:rPr>
        <w:t xml:space="preserve">remind </w:t>
      </w:r>
      <w:r w:rsidR="00926F46" w:rsidRPr="007F49F8">
        <w:rPr>
          <w:rFonts w:ascii="Seaford" w:hAnsi="Seaford" w:cs="Calibri"/>
          <w:sz w:val="22"/>
          <w:szCs w:val="22"/>
        </w:rPr>
        <w:t xml:space="preserve">CMS </w:t>
      </w:r>
      <w:r w:rsidRPr="007F49F8">
        <w:rPr>
          <w:rFonts w:ascii="Seaford" w:hAnsi="Seaford" w:cs="Calibri"/>
          <w:sz w:val="22"/>
          <w:szCs w:val="22"/>
        </w:rPr>
        <w:t>that the continued requirement for HHAs to complete duplicative items addressing functional status represents an unnecessary administrative burden</w:t>
      </w:r>
      <w:r w:rsidR="0011352B" w:rsidRPr="007F49F8">
        <w:rPr>
          <w:rFonts w:ascii="Seaford" w:hAnsi="Seaford" w:cs="Calibri"/>
          <w:sz w:val="22"/>
          <w:szCs w:val="22"/>
        </w:rPr>
        <w:t xml:space="preserve"> and may lead to confusion in reporting. </w:t>
      </w:r>
      <w:r w:rsidR="00354A2D" w:rsidRPr="007F49F8">
        <w:rPr>
          <w:rFonts w:ascii="Seaford" w:hAnsi="Seaford" w:cs="Calibri"/>
          <w:sz w:val="22"/>
          <w:szCs w:val="22"/>
        </w:rPr>
        <w:t xml:space="preserve">We encourage CMS to </w:t>
      </w:r>
      <w:r w:rsidR="007B4AE5" w:rsidRPr="007F49F8">
        <w:rPr>
          <w:rFonts w:ascii="Seaford" w:hAnsi="Seaford" w:cs="Calibri"/>
          <w:sz w:val="22"/>
          <w:szCs w:val="22"/>
        </w:rPr>
        <w:t>continue and expedite</w:t>
      </w:r>
      <w:r w:rsidR="00354A2D" w:rsidRPr="007F49F8">
        <w:rPr>
          <w:rFonts w:ascii="Seaford" w:hAnsi="Seaford" w:cs="Calibri"/>
          <w:sz w:val="22"/>
          <w:szCs w:val="22"/>
        </w:rPr>
        <w:t xml:space="preserve"> it</w:t>
      </w:r>
      <w:r w:rsidR="007B4AE5" w:rsidRPr="007F49F8">
        <w:rPr>
          <w:rFonts w:ascii="Seaford" w:hAnsi="Seaford" w:cs="Calibri"/>
          <w:sz w:val="22"/>
          <w:szCs w:val="22"/>
        </w:rPr>
        <w:t>s</w:t>
      </w:r>
      <w:r w:rsidR="00354A2D" w:rsidRPr="007F49F8">
        <w:rPr>
          <w:rFonts w:ascii="Seaford" w:hAnsi="Seaford" w:cs="Calibri"/>
          <w:sz w:val="22"/>
          <w:szCs w:val="22"/>
        </w:rPr>
        <w:t xml:space="preserve"> efforts to validate </w:t>
      </w:r>
      <w:r w:rsidR="008C7E75" w:rsidRPr="007F49F8">
        <w:rPr>
          <w:rFonts w:ascii="Seaford" w:hAnsi="Seaford" w:cs="Calibri"/>
          <w:sz w:val="22"/>
          <w:szCs w:val="22"/>
        </w:rPr>
        <w:t xml:space="preserve">the Section GG items </w:t>
      </w:r>
      <w:r w:rsidR="0087483D" w:rsidRPr="007F49F8">
        <w:rPr>
          <w:rFonts w:ascii="Seaford" w:hAnsi="Seaford" w:cs="Calibri"/>
          <w:sz w:val="22"/>
          <w:szCs w:val="22"/>
        </w:rPr>
        <w:t xml:space="preserve">and </w:t>
      </w:r>
      <w:proofErr w:type="gramStart"/>
      <w:r w:rsidR="0087483D" w:rsidRPr="007F49F8">
        <w:rPr>
          <w:rFonts w:ascii="Seaford" w:hAnsi="Seaford" w:cs="Calibri"/>
          <w:sz w:val="22"/>
          <w:szCs w:val="22"/>
        </w:rPr>
        <w:t>make a d</w:t>
      </w:r>
      <w:r w:rsidR="00E625D5" w:rsidRPr="007F49F8">
        <w:rPr>
          <w:rFonts w:ascii="Seaford" w:hAnsi="Seaford" w:cs="Calibri"/>
          <w:sz w:val="22"/>
          <w:szCs w:val="22"/>
        </w:rPr>
        <w:t>e</w:t>
      </w:r>
      <w:r w:rsidR="0087483D" w:rsidRPr="007F49F8">
        <w:rPr>
          <w:rFonts w:ascii="Seaford" w:hAnsi="Seaford" w:cs="Calibri"/>
          <w:sz w:val="22"/>
          <w:szCs w:val="22"/>
        </w:rPr>
        <w:t>termination</w:t>
      </w:r>
      <w:proofErr w:type="gramEnd"/>
      <w:r w:rsidR="0087483D" w:rsidRPr="007F49F8">
        <w:rPr>
          <w:rFonts w:ascii="Seaford" w:hAnsi="Seaford" w:cs="Calibri"/>
          <w:sz w:val="22"/>
          <w:szCs w:val="22"/>
        </w:rPr>
        <w:t xml:space="preserve"> </w:t>
      </w:r>
      <w:r w:rsidR="00BB1478" w:rsidRPr="007F49F8">
        <w:rPr>
          <w:rFonts w:ascii="Seaford" w:hAnsi="Seaford" w:cs="Calibri"/>
          <w:sz w:val="22"/>
          <w:szCs w:val="22"/>
        </w:rPr>
        <w:t xml:space="preserve">regarding the </w:t>
      </w:r>
      <w:r w:rsidR="009E272F" w:rsidRPr="007F49F8">
        <w:rPr>
          <w:rFonts w:ascii="Seaford" w:hAnsi="Seaford" w:cs="Calibri"/>
          <w:sz w:val="22"/>
          <w:szCs w:val="22"/>
        </w:rPr>
        <w:t>most appr</w:t>
      </w:r>
      <w:r w:rsidR="008F1B29" w:rsidRPr="007F49F8">
        <w:rPr>
          <w:rFonts w:ascii="Seaford" w:hAnsi="Seaford" w:cs="Calibri"/>
          <w:sz w:val="22"/>
          <w:szCs w:val="22"/>
        </w:rPr>
        <w:t>o</w:t>
      </w:r>
      <w:r w:rsidR="009E272F" w:rsidRPr="007F49F8">
        <w:rPr>
          <w:rFonts w:ascii="Seaford" w:hAnsi="Seaford" w:cs="Calibri"/>
          <w:sz w:val="22"/>
          <w:szCs w:val="22"/>
        </w:rPr>
        <w:t>p</w:t>
      </w:r>
      <w:r w:rsidR="008F1B29" w:rsidRPr="007F49F8">
        <w:rPr>
          <w:rFonts w:ascii="Seaford" w:hAnsi="Seaford" w:cs="Calibri"/>
          <w:sz w:val="22"/>
          <w:szCs w:val="22"/>
        </w:rPr>
        <w:t>riate and accurate method of a</w:t>
      </w:r>
      <w:r w:rsidR="008E45A8" w:rsidRPr="007F49F8">
        <w:rPr>
          <w:rFonts w:ascii="Seaford" w:hAnsi="Seaford" w:cs="Calibri"/>
          <w:sz w:val="22"/>
          <w:szCs w:val="22"/>
        </w:rPr>
        <w:t xml:space="preserve">ssessing functional access for </w:t>
      </w:r>
      <w:r w:rsidR="005F3853">
        <w:rPr>
          <w:rFonts w:ascii="Seaford" w:hAnsi="Seaford" w:cs="Calibri"/>
          <w:sz w:val="22"/>
          <w:szCs w:val="22"/>
        </w:rPr>
        <w:t>HH</w:t>
      </w:r>
      <w:r w:rsidR="008E45A8" w:rsidRPr="007F49F8">
        <w:rPr>
          <w:rFonts w:ascii="Seaford" w:hAnsi="Seaford" w:cs="Calibri"/>
          <w:sz w:val="22"/>
          <w:szCs w:val="22"/>
        </w:rPr>
        <w:t xml:space="preserve"> beneficiar</w:t>
      </w:r>
      <w:r w:rsidR="00E15C4F" w:rsidRPr="007F49F8">
        <w:rPr>
          <w:rFonts w:ascii="Seaford" w:hAnsi="Seaford" w:cs="Calibri"/>
          <w:sz w:val="22"/>
          <w:szCs w:val="22"/>
        </w:rPr>
        <w:t>i</w:t>
      </w:r>
      <w:r w:rsidR="008E45A8" w:rsidRPr="007F49F8">
        <w:rPr>
          <w:rFonts w:ascii="Seaford" w:hAnsi="Seaford" w:cs="Calibri"/>
          <w:sz w:val="22"/>
          <w:szCs w:val="22"/>
        </w:rPr>
        <w:t xml:space="preserve">es.  </w:t>
      </w:r>
    </w:p>
    <w:p w14:paraId="523FB3A3" w14:textId="77777777" w:rsidR="00107DFC" w:rsidRPr="007F49F8" w:rsidRDefault="00107DFC" w:rsidP="00107DFC">
      <w:pPr>
        <w:pStyle w:val="Default"/>
        <w:rPr>
          <w:rFonts w:ascii="Seaford" w:hAnsi="Seaford" w:cs="Calibri"/>
          <w:sz w:val="22"/>
          <w:szCs w:val="22"/>
        </w:rPr>
      </w:pPr>
    </w:p>
    <w:p w14:paraId="4866A3FA" w14:textId="1007F0A1" w:rsidR="006677DC" w:rsidRPr="00457018" w:rsidRDefault="006677DC" w:rsidP="00107DFC">
      <w:pPr>
        <w:pStyle w:val="Default"/>
        <w:rPr>
          <w:rFonts w:ascii="Seaford" w:eastAsiaTheme="minorEastAsia" w:hAnsi="Seaford" w:cstheme="minorHAnsi"/>
          <w:b/>
          <w:bCs/>
          <w:smallCaps/>
          <w:spacing w:val="-1"/>
        </w:rPr>
      </w:pPr>
      <w:r w:rsidRPr="00457018">
        <w:rPr>
          <w:rFonts w:ascii="Seaford" w:eastAsia="Times New Roman" w:hAnsi="Seaford"/>
          <w:b/>
          <w:bCs/>
          <w:color w:val="auto"/>
          <w:sz w:val="28"/>
          <w:szCs w:val="28"/>
        </w:rPr>
        <w:t xml:space="preserve">Telecommunications Data Collection  </w:t>
      </w:r>
    </w:p>
    <w:p w14:paraId="5DFD5A46" w14:textId="31F41910" w:rsidR="00AC7160" w:rsidRPr="007F49F8" w:rsidRDefault="00210B1F" w:rsidP="00864240">
      <w:pPr>
        <w:pStyle w:val="Default"/>
        <w:rPr>
          <w:rFonts w:ascii="Seaford" w:hAnsi="Seaford" w:cstheme="minorHAnsi"/>
          <w:sz w:val="22"/>
          <w:szCs w:val="22"/>
        </w:rPr>
      </w:pPr>
      <w:r w:rsidRPr="007F49F8">
        <w:rPr>
          <w:rFonts w:ascii="Seaford" w:hAnsi="Seaford" w:cstheme="minorHAnsi"/>
          <w:sz w:val="22"/>
          <w:szCs w:val="22"/>
        </w:rPr>
        <w:t xml:space="preserve">CHA applauds and supports CMS’ recognition that telecommunications technology — when deployed as part of the </w:t>
      </w:r>
      <w:r w:rsidR="00713872">
        <w:rPr>
          <w:rFonts w:ascii="Seaford" w:hAnsi="Seaford" w:cstheme="minorHAnsi"/>
          <w:sz w:val="22"/>
          <w:szCs w:val="22"/>
        </w:rPr>
        <w:t xml:space="preserve">HH </w:t>
      </w:r>
      <w:r w:rsidRPr="007F49F8">
        <w:rPr>
          <w:rFonts w:ascii="Seaford" w:hAnsi="Seaford" w:cstheme="minorHAnsi"/>
          <w:sz w:val="22"/>
          <w:szCs w:val="22"/>
        </w:rPr>
        <w:t>plan of care — is an effective complement to in-person visits</w:t>
      </w:r>
      <w:r w:rsidR="000F2C97">
        <w:rPr>
          <w:rFonts w:ascii="Seaford" w:hAnsi="Seaford" w:cstheme="minorHAnsi"/>
          <w:sz w:val="22"/>
          <w:szCs w:val="22"/>
        </w:rPr>
        <w:t>.</w:t>
      </w:r>
      <w:r w:rsidR="00320A22" w:rsidRPr="007F49F8">
        <w:rPr>
          <w:rFonts w:ascii="Seaford" w:hAnsi="Seaford" w:cstheme="minorHAnsi"/>
          <w:sz w:val="22"/>
          <w:szCs w:val="22"/>
        </w:rPr>
        <w:t xml:space="preserve"> </w:t>
      </w:r>
      <w:r w:rsidR="000F2C97">
        <w:rPr>
          <w:rFonts w:ascii="Seaford" w:hAnsi="Seaford" w:cstheme="minorHAnsi"/>
          <w:sz w:val="22"/>
          <w:szCs w:val="22"/>
        </w:rPr>
        <w:t xml:space="preserve">This is </w:t>
      </w:r>
      <w:r w:rsidR="00697036" w:rsidRPr="007F49F8">
        <w:rPr>
          <w:rFonts w:ascii="Seaford" w:hAnsi="Seaford" w:cstheme="minorHAnsi"/>
          <w:sz w:val="22"/>
          <w:szCs w:val="22"/>
        </w:rPr>
        <w:t xml:space="preserve">evidenced by its </w:t>
      </w:r>
      <w:r w:rsidR="0086177B" w:rsidRPr="007F49F8">
        <w:rPr>
          <w:rFonts w:ascii="Seaford" w:hAnsi="Seaford" w:cstheme="minorHAnsi"/>
          <w:sz w:val="22"/>
          <w:szCs w:val="22"/>
        </w:rPr>
        <w:t xml:space="preserve">implementation of provisions </w:t>
      </w:r>
      <w:r w:rsidR="00331845" w:rsidRPr="007F49F8">
        <w:rPr>
          <w:rFonts w:ascii="Seaford" w:hAnsi="Seaford" w:cstheme="minorHAnsi"/>
          <w:sz w:val="22"/>
          <w:szCs w:val="22"/>
        </w:rPr>
        <w:t xml:space="preserve">to </w:t>
      </w:r>
      <w:r w:rsidR="0034723C" w:rsidRPr="007F49F8">
        <w:rPr>
          <w:rFonts w:ascii="Seaford" w:hAnsi="Seaford" w:cstheme="minorHAnsi"/>
          <w:sz w:val="22"/>
          <w:szCs w:val="22"/>
        </w:rPr>
        <w:t>allow HHAs to use various types of telecommunications systems in addition to remote patient monitoring</w:t>
      </w:r>
      <w:r w:rsidR="00AE160E" w:rsidRPr="007F49F8">
        <w:rPr>
          <w:rFonts w:ascii="Seaford" w:hAnsi="Seaford" w:cstheme="minorHAnsi"/>
          <w:sz w:val="22"/>
          <w:szCs w:val="22"/>
        </w:rPr>
        <w:t xml:space="preserve"> and </w:t>
      </w:r>
      <w:r w:rsidR="00AC7160" w:rsidRPr="007F49F8">
        <w:rPr>
          <w:rFonts w:ascii="Seaford" w:hAnsi="Seaford" w:cstheme="minorHAnsi"/>
          <w:sz w:val="22"/>
          <w:szCs w:val="22"/>
        </w:rPr>
        <w:t xml:space="preserve">to </w:t>
      </w:r>
      <w:r w:rsidR="00EB0FF1" w:rsidRPr="007F49F8">
        <w:rPr>
          <w:rFonts w:ascii="Seaford" w:hAnsi="Seaford" w:cstheme="minorHAnsi"/>
          <w:sz w:val="22"/>
          <w:szCs w:val="22"/>
        </w:rPr>
        <w:t xml:space="preserve">include certain </w:t>
      </w:r>
      <w:r w:rsidR="00950679" w:rsidRPr="007F49F8">
        <w:rPr>
          <w:rFonts w:ascii="Seaford" w:hAnsi="Seaford" w:cstheme="minorHAnsi"/>
          <w:sz w:val="22"/>
          <w:szCs w:val="22"/>
        </w:rPr>
        <w:t xml:space="preserve">costs </w:t>
      </w:r>
      <w:r w:rsidR="00EB0FF1" w:rsidRPr="007F49F8">
        <w:rPr>
          <w:rFonts w:ascii="Seaford" w:hAnsi="Seaford" w:cstheme="minorHAnsi"/>
          <w:sz w:val="22"/>
          <w:szCs w:val="22"/>
        </w:rPr>
        <w:t xml:space="preserve">in </w:t>
      </w:r>
      <w:r w:rsidR="0034723C" w:rsidRPr="007F49F8">
        <w:rPr>
          <w:rFonts w:ascii="Seaford" w:hAnsi="Seaford" w:cstheme="minorHAnsi"/>
          <w:sz w:val="22"/>
          <w:szCs w:val="22"/>
        </w:rPr>
        <w:t>allowable administrative costs</w:t>
      </w:r>
      <w:r w:rsidR="00EA754B" w:rsidRPr="007F49F8">
        <w:rPr>
          <w:rFonts w:ascii="Seaford" w:hAnsi="Seaford" w:cstheme="minorHAnsi"/>
          <w:sz w:val="22"/>
          <w:szCs w:val="22"/>
        </w:rPr>
        <w:t xml:space="preserve">, as reported in </w:t>
      </w:r>
      <w:r w:rsidR="004729C0" w:rsidRPr="007F49F8">
        <w:rPr>
          <w:rFonts w:ascii="Seaford" w:hAnsi="Seaford" w:cstheme="minorHAnsi"/>
          <w:sz w:val="22"/>
          <w:szCs w:val="22"/>
        </w:rPr>
        <w:t>a broad category of administrative costs in the HHA Me</w:t>
      </w:r>
      <w:r w:rsidR="00E15C4F" w:rsidRPr="007F49F8">
        <w:rPr>
          <w:rFonts w:ascii="Seaford" w:hAnsi="Seaford" w:cstheme="minorHAnsi"/>
          <w:sz w:val="22"/>
          <w:szCs w:val="22"/>
        </w:rPr>
        <w:t>d</w:t>
      </w:r>
      <w:r w:rsidR="004729C0" w:rsidRPr="007F49F8">
        <w:rPr>
          <w:rFonts w:ascii="Seaford" w:hAnsi="Seaford" w:cstheme="minorHAnsi"/>
          <w:sz w:val="22"/>
          <w:szCs w:val="22"/>
        </w:rPr>
        <w:t xml:space="preserve">icare cost report.  </w:t>
      </w:r>
    </w:p>
    <w:p w14:paraId="6AE15F4F" w14:textId="77777777" w:rsidR="00AC7160" w:rsidRPr="007F49F8" w:rsidRDefault="00AC7160" w:rsidP="00864240">
      <w:pPr>
        <w:pStyle w:val="Default"/>
        <w:rPr>
          <w:rFonts w:ascii="Seaford" w:hAnsi="Seaford" w:cstheme="minorHAnsi"/>
          <w:sz w:val="22"/>
          <w:szCs w:val="22"/>
        </w:rPr>
      </w:pPr>
    </w:p>
    <w:p w14:paraId="0A9779E1" w14:textId="44DC4DBE" w:rsidR="00312C55" w:rsidRPr="007F49F8" w:rsidRDefault="00864240" w:rsidP="00312C55">
      <w:pPr>
        <w:pStyle w:val="Default"/>
        <w:rPr>
          <w:rFonts w:ascii="Seaford" w:hAnsi="Seaford" w:cstheme="minorHAnsi"/>
          <w:sz w:val="22"/>
          <w:szCs w:val="22"/>
        </w:rPr>
      </w:pPr>
      <w:r w:rsidRPr="007F49F8">
        <w:rPr>
          <w:rFonts w:ascii="Seaford" w:hAnsi="Seaford" w:cstheme="minorHAnsi"/>
          <w:sz w:val="22"/>
          <w:szCs w:val="22"/>
        </w:rPr>
        <w:t xml:space="preserve">CMS believes that collecting data on the use of telecommunications technology on </w:t>
      </w:r>
      <w:r w:rsidR="00243D64">
        <w:rPr>
          <w:rFonts w:ascii="Seaford" w:hAnsi="Seaford" w:cstheme="minorHAnsi"/>
          <w:sz w:val="22"/>
          <w:szCs w:val="22"/>
        </w:rPr>
        <w:t>HH</w:t>
      </w:r>
      <w:r w:rsidRPr="007F49F8">
        <w:rPr>
          <w:rFonts w:ascii="Seaford" w:hAnsi="Seaford" w:cstheme="minorHAnsi"/>
          <w:sz w:val="22"/>
          <w:szCs w:val="22"/>
        </w:rPr>
        <w:t xml:space="preserve"> claims would allow it to analyze the characteristics of the beneficiaries utilizing </w:t>
      </w:r>
      <w:r w:rsidR="00AC7160" w:rsidRPr="007F49F8">
        <w:rPr>
          <w:rFonts w:ascii="Seaford" w:hAnsi="Seaford" w:cstheme="minorHAnsi"/>
          <w:sz w:val="22"/>
          <w:szCs w:val="22"/>
        </w:rPr>
        <w:t xml:space="preserve">such services </w:t>
      </w:r>
      <w:r w:rsidR="00A060DB" w:rsidRPr="007F49F8">
        <w:rPr>
          <w:rFonts w:ascii="Seaford" w:hAnsi="Seaford" w:cstheme="minorHAnsi"/>
          <w:sz w:val="22"/>
          <w:szCs w:val="22"/>
        </w:rPr>
        <w:t>and</w:t>
      </w:r>
      <w:r w:rsidR="00C9558B" w:rsidRPr="007F49F8">
        <w:rPr>
          <w:rFonts w:ascii="Seaford" w:hAnsi="Seaford" w:cstheme="minorHAnsi"/>
          <w:sz w:val="22"/>
          <w:szCs w:val="22"/>
        </w:rPr>
        <w:t xml:space="preserve"> would </w:t>
      </w:r>
      <w:r w:rsidR="00A060DB" w:rsidRPr="007F49F8">
        <w:rPr>
          <w:rFonts w:ascii="Seaford" w:hAnsi="Seaford" w:cstheme="minorHAnsi"/>
          <w:sz w:val="22"/>
          <w:szCs w:val="22"/>
        </w:rPr>
        <w:t xml:space="preserve">provide a </w:t>
      </w:r>
      <w:r w:rsidR="00B87C9B" w:rsidRPr="007F49F8">
        <w:rPr>
          <w:rFonts w:ascii="Seaford" w:hAnsi="Seaford" w:cstheme="minorHAnsi"/>
          <w:sz w:val="22"/>
          <w:szCs w:val="22"/>
        </w:rPr>
        <w:t>broader understanding of the social determinants that affect who benefits most from these services, including what barriers may potentially exist for certain subsets of</w:t>
      </w:r>
      <w:r w:rsidR="00312C55" w:rsidRPr="007F49F8">
        <w:rPr>
          <w:rFonts w:ascii="Seaford" w:hAnsi="Seaford" w:cstheme="minorHAnsi"/>
          <w:sz w:val="22"/>
          <w:szCs w:val="22"/>
        </w:rPr>
        <w:t xml:space="preserve"> beneficiaries. </w:t>
      </w:r>
    </w:p>
    <w:p w14:paraId="5F72E356" w14:textId="77777777" w:rsidR="00A060DB" w:rsidRPr="007F49F8" w:rsidRDefault="00A060DB" w:rsidP="00312C55">
      <w:pPr>
        <w:pStyle w:val="Default"/>
        <w:rPr>
          <w:rFonts w:ascii="Seaford" w:hAnsi="Seaford" w:cstheme="minorHAnsi"/>
          <w:sz w:val="22"/>
          <w:szCs w:val="22"/>
        </w:rPr>
      </w:pPr>
    </w:p>
    <w:p w14:paraId="4960370F" w14:textId="4AD5A404" w:rsidR="00791433" w:rsidRPr="007F49F8" w:rsidRDefault="00312C55" w:rsidP="00312C55">
      <w:pPr>
        <w:pStyle w:val="Default"/>
        <w:rPr>
          <w:rFonts w:ascii="Seaford" w:hAnsi="Seaford" w:cstheme="minorHAnsi"/>
          <w:sz w:val="22"/>
          <w:szCs w:val="22"/>
        </w:rPr>
      </w:pPr>
      <w:r w:rsidRPr="007F49F8">
        <w:rPr>
          <w:rFonts w:ascii="Seaford" w:hAnsi="Seaford" w:cstheme="minorHAnsi"/>
          <w:sz w:val="22"/>
          <w:szCs w:val="22"/>
        </w:rPr>
        <w:t xml:space="preserve">CMS </w:t>
      </w:r>
      <w:r w:rsidR="006F6C2A" w:rsidRPr="007F49F8">
        <w:rPr>
          <w:rFonts w:ascii="Seaford" w:hAnsi="Seaford" w:cstheme="minorHAnsi"/>
          <w:sz w:val="22"/>
          <w:szCs w:val="22"/>
        </w:rPr>
        <w:t>now proposes to begin the c</w:t>
      </w:r>
      <w:r w:rsidRPr="007F49F8">
        <w:rPr>
          <w:rFonts w:ascii="Seaford" w:hAnsi="Seaford" w:cstheme="minorHAnsi"/>
          <w:sz w:val="22"/>
          <w:szCs w:val="22"/>
        </w:rPr>
        <w:t xml:space="preserve">ollection of data on the use of telecommunications technology on </w:t>
      </w:r>
      <w:r w:rsidR="00C9683C">
        <w:rPr>
          <w:rFonts w:ascii="Seaford" w:hAnsi="Seaford" w:cstheme="minorHAnsi"/>
          <w:sz w:val="22"/>
          <w:szCs w:val="22"/>
        </w:rPr>
        <w:t>HH</w:t>
      </w:r>
      <w:r w:rsidRPr="007F49F8">
        <w:rPr>
          <w:rFonts w:ascii="Seaford" w:hAnsi="Seaford" w:cstheme="minorHAnsi"/>
          <w:sz w:val="22"/>
          <w:szCs w:val="22"/>
        </w:rPr>
        <w:t xml:space="preserve"> claims</w:t>
      </w:r>
      <w:r w:rsidR="006F6C2A" w:rsidRPr="007F49F8">
        <w:rPr>
          <w:rFonts w:ascii="Seaford" w:hAnsi="Seaford" w:cstheme="minorHAnsi"/>
          <w:sz w:val="22"/>
          <w:szCs w:val="22"/>
        </w:rPr>
        <w:t xml:space="preserve"> </w:t>
      </w:r>
      <w:r w:rsidRPr="007F49F8">
        <w:rPr>
          <w:rFonts w:ascii="Seaford" w:hAnsi="Seaford" w:cstheme="minorHAnsi"/>
          <w:sz w:val="22"/>
          <w:szCs w:val="22"/>
        </w:rPr>
        <w:t>by January 1, 2023</w:t>
      </w:r>
      <w:r w:rsidR="00C9558B" w:rsidRPr="007F49F8">
        <w:rPr>
          <w:rFonts w:ascii="Seaford" w:hAnsi="Seaford" w:cstheme="minorHAnsi"/>
          <w:sz w:val="22"/>
          <w:szCs w:val="22"/>
        </w:rPr>
        <w:t>,</w:t>
      </w:r>
      <w:r w:rsidRPr="007F49F8">
        <w:rPr>
          <w:rFonts w:ascii="Seaford" w:hAnsi="Seaford" w:cstheme="minorHAnsi"/>
          <w:sz w:val="22"/>
          <w:szCs w:val="22"/>
        </w:rPr>
        <w:t xml:space="preserve"> on a voluntary basis</w:t>
      </w:r>
      <w:r w:rsidR="008122B2" w:rsidRPr="007F49F8">
        <w:rPr>
          <w:rFonts w:ascii="Seaford" w:hAnsi="Seaford" w:cstheme="minorHAnsi"/>
          <w:sz w:val="22"/>
          <w:szCs w:val="22"/>
        </w:rPr>
        <w:t xml:space="preserve">, and </w:t>
      </w:r>
      <w:r w:rsidR="00515D3D">
        <w:rPr>
          <w:rFonts w:ascii="Seaford" w:hAnsi="Seaford" w:cstheme="minorHAnsi"/>
          <w:sz w:val="22"/>
          <w:szCs w:val="22"/>
        </w:rPr>
        <w:t xml:space="preserve">will </w:t>
      </w:r>
      <w:r w:rsidR="008122B2" w:rsidRPr="007F49F8">
        <w:rPr>
          <w:rFonts w:ascii="Seaford" w:hAnsi="Seaford" w:cstheme="minorHAnsi"/>
          <w:sz w:val="22"/>
          <w:szCs w:val="22"/>
        </w:rPr>
        <w:t xml:space="preserve">require </w:t>
      </w:r>
      <w:r w:rsidRPr="007F49F8">
        <w:rPr>
          <w:rFonts w:ascii="Seaford" w:hAnsi="Seaford" w:cstheme="minorHAnsi"/>
          <w:sz w:val="22"/>
          <w:szCs w:val="22"/>
        </w:rPr>
        <w:t xml:space="preserve">this information </w:t>
      </w:r>
      <w:r w:rsidR="00832FAE">
        <w:rPr>
          <w:rFonts w:ascii="Seaford" w:hAnsi="Seaford" w:cstheme="minorHAnsi"/>
          <w:sz w:val="22"/>
          <w:szCs w:val="22"/>
        </w:rPr>
        <w:t xml:space="preserve">to </w:t>
      </w:r>
      <w:r w:rsidRPr="007F49F8">
        <w:rPr>
          <w:rFonts w:ascii="Seaford" w:hAnsi="Seaford" w:cstheme="minorHAnsi"/>
          <w:sz w:val="22"/>
          <w:szCs w:val="22"/>
        </w:rPr>
        <w:t>be reported</w:t>
      </w:r>
      <w:r w:rsidR="00515D3D">
        <w:rPr>
          <w:rFonts w:ascii="Seaford" w:hAnsi="Seaford" w:cstheme="minorHAnsi"/>
          <w:sz w:val="22"/>
          <w:szCs w:val="22"/>
        </w:rPr>
        <w:t xml:space="preserve"> by July 2023</w:t>
      </w:r>
      <w:r w:rsidR="00C9558B" w:rsidRPr="007F49F8">
        <w:rPr>
          <w:rFonts w:ascii="Seaford" w:hAnsi="Seaford" w:cstheme="minorHAnsi"/>
          <w:sz w:val="22"/>
          <w:szCs w:val="22"/>
        </w:rPr>
        <w:t xml:space="preserve">. </w:t>
      </w:r>
      <w:r w:rsidRPr="007F49F8">
        <w:rPr>
          <w:rFonts w:ascii="Seaford" w:hAnsi="Seaford" w:cstheme="minorHAnsi"/>
          <w:sz w:val="22"/>
          <w:szCs w:val="22"/>
        </w:rPr>
        <w:t xml:space="preserve">CMS </w:t>
      </w:r>
      <w:r w:rsidR="007861B7" w:rsidRPr="007F49F8">
        <w:rPr>
          <w:rFonts w:ascii="Seaford" w:hAnsi="Seaford" w:cstheme="minorHAnsi"/>
          <w:sz w:val="22"/>
          <w:szCs w:val="22"/>
        </w:rPr>
        <w:t xml:space="preserve">also </w:t>
      </w:r>
      <w:r w:rsidRPr="007F49F8">
        <w:rPr>
          <w:rFonts w:ascii="Seaford" w:hAnsi="Seaford" w:cstheme="minorHAnsi"/>
          <w:sz w:val="22"/>
          <w:szCs w:val="22"/>
        </w:rPr>
        <w:t xml:space="preserve">solicits comments on the use of three new G-codes </w:t>
      </w:r>
      <w:r w:rsidR="000776CA">
        <w:rPr>
          <w:rFonts w:ascii="Seaford" w:hAnsi="Seaford" w:cstheme="minorHAnsi"/>
          <w:sz w:val="22"/>
          <w:szCs w:val="22"/>
        </w:rPr>
        <w:t xml:space="preserve">that </w:t>
      </w:r>
      <w:r w:rsidRPr="007F49F8">
        <w:rPr>
          <w:rFonts w:ascii="Seaford" w:hAnsi="Seaford" w:cstheme="minorHAnsi"/>
          <w:sz w:val="22"/>
          <w:szCs w:val="22"/>
        </w:rPr>
        <w:t xml:space="preserve">identify when </w:t>
      </w:r>
      <w:r w:rsidR="000776CA">
        <w:rPr>
          <w:rFonts w:ascii="Seaford" w:hAnsi="Seaford" w:cstheme="minorHAnsi"/>
          <w:sz w:val="22"/>
          <w:szCs w:val="22"/>
        </w:rPr>
        <w:t>HH</w:t>
      </w:r>
      <w:r w:rsidRPr="007F49F8">
        <w:rPr>
          <w:rFonts w:ascii="Seaford" w:hAnsi="Seaford" w:cstheme="minorHAnsi"/>
          <w:sz w:val="22"/>
          <w:szCs w:val="22"/>
        </w:rPr>
        <w:t xml:space="preserve"> services are furnished using synchronous telemedicine rendered via a real-time two-way audio and video telecommunications system; synchronous telemedicine rendered via telephone or other real-time interactive audio-only telecommunications system; and the collection of physiologic data digitally stored and/or transmitted by the patient to the </w:t>
      </w:r>
      <w:r w:rsidR="00C531A0">
        <w:rPr>
          <w:rFonts w:ascii="Seaford" w:hAnsi="Seaford" w:cstheme="minorHAnsi"/>
          <w:sz w:val="22"/>
          <w:szCs w:val="22"/>
        </w:rPr>
        <w:t>HHA</w:t>
      </w:r>
      <w:r w:rsidRPr="007F49F8">
        <w:rPr>
          <w:rFonts w:ascii="Seaford" w:hAnsi="Seaford" w:cstheme="minorHAnsi"/>
          <w:sz w:val="22"/>
          <w:szCs w:val="22"/>
        </w:rPr>
        <w:t xml:space="preserve">, that is, remote patient monitoring. CMS would capture the utilization of remote patient monitoring through the inclusion of the start date of the remote patient monitoring and the number of units indicated on the claim. </w:t>
      </w:r>
    </w:p>
    <w:p w14:paraId="53B59E6F" w14:textId="48B5896C" w:rsidR="00957F88" w:rsidRPr="007F49F8" w:rsidRDefault="00957F88" w:rsidP="00312C55">
      <w:pPr>
        <w:pStyle w:val="Default"/>
        <w:rPr>
          <w:rFonts w:ascii="Seaford" w:hAnsi="Seaford" w:cstheme="minorHAnsi"/>
          <w:sz w:val="22"/>
          <w:szCs w:val="22"/>
        </w:rPr>
      </w:pPr>
    </w:p>
    <w:p w14:paraId="1BA70DA2" w14:textId="0849085B" w:rsidR="00210B1F" w:rsidRPr="007F49F8" w:rsidRDefault="00957F88" w:rsidP="00107DFC">
      <w:pPr>
        <w:pStyle w:val="Default"/>
        <w:rPr>
          <w:rFonts w:ascii="Seaford" w:eastAsiaTheme="minorEastAsia" w:hAnsi="Seaford" w:cstheme="minorHAnsi"/>
          <w:b/>
          <w:bCs/>
          <w:smallCaps/>
          <w:spacing w:val="-1"/>
          <w:sz w:val="22"/>
          <w:szCs w:val="22"/>
        </w:rPr>
      </w:pPr>
      <w:r w:rsidRPr="007F49F8">
        <w:rPr>
          <w:rFonts w:ascii="Seaford" w:hAnsi="Seaford" w:cstheme="minorHAnsi"/>
          <w:b/>
          <w:bCs/>
          <w:sz w:val="22"/>
          <w:szCs w:val="22"/>
        </w:rPr>
        <w:t>CHA supports</w:t>
      </w:r>
      <w:r w:rsidR="00747969" w:rsidRPr="007F49F8">
        <w:rPr>
          <w:rFonts w:ascii="Seaford" w:hAnsi="Seaford" w:cstheme="minorHAnsi"/>
          <w:b/>
          <w:bCs/>
          <w:sz w:val="22"/>
          <w:szCs w:val="22"/>
        </w:rPr>
        <w:t xml:space="preserve"> this proposal</w:t>
      </w:r>
      <w:r w:rsidR="00747969" w:rsidRPr="00457018">
        <w:rPr>
          <w:rFonts w:ascii="Seaford" w:hAnsi="Seaford" w:cstheme="minorHAnsi"/>
          <w:b/>
          <w:bCs/>
          <w:sz w:val="22"/>
          <w:szCs w:val="22"/>
        </w:rPr>
        <w:t xml:space="preserve"> and </w:t>
      </w:r>
      <w:r w:rsidR="005A734F" w:rsidRPr="00457018">
        <w:rPr>
          <w:rFonts w:ascii="Seaford" w:hAnsi="Seaford" w:cstheme="minorHAnsi"/>
          <w:b/>
          <w:bCs/>
          <w:sz w:val="22"/>
          <w:szCs w:val="22"/>
        </w:rPr>
        <w:t xml:space="preserve">urges </w:t>
      </w:r>
      <w:r w:rsidR="00747969" w:rsidRPr="00457018">
        <w:rPr>
          <w:rFonts w:ascii="Seaford" w:hAnsi="Seaford" w:cstheme="minorHAnsi"/>
          <w:b/>
          <w:bCs/>
          <w:sz w:val="22"/>
          <w:szCs w:val="22"/>
        </w:rPr>
        <w:t xml:space="preserve">CMS to provide information and training to ensure </w:t>
      </w:r>
      <w:r w:rsidR="00082F87" w:rsidRPr="00457018">
        <w:rPr>
          <w:rFonts w:ascii="Seaford" w:hAnsi="Seaford" w:cstheme="minorHAnsi"/>
          <w:b/>
          <w:bCs/>
          <w:sz w:val="22"/>
          <w:szCs w:val="22"/>
        </w:rPr>
        <w:t xml:space="preserve">providers are prepared to </w:t>
      </w:r>
      <w:r w:rsidR="005A734F" w:rsidRPr="00457018">
        <w:rPr>
          <w:rFonts w:ascii="Seaford" w:hAnsi="Seaford" w:cstheme="minorHAnsi"/>
          <w:b/>
          <w:bCs/>
          <w:sz w:val="22"/>
          <w:szCs w:val="22"/>
        </w:rPr>
        <w:t xml:space="preserve">accurately report this important information. </w:t>
      </w:r>
      <w:r w:rsidR="00E65EAD" w:rsidRPr="007F49F8">
        <w:rPr>
          <w:rFonts w:ascii="Seaford" w:hAnsi="Seaford" w:cstheme="minorHAnsi"/>
          <w:b/>
          <w:bCs/>
          <w:sz w:val="22"/>
          <w:szCs w:val="22"/>
        </w:rPr>
        <w:t xml:space="preserve">In addition, we encourage CMS to consider additional changes </w:t>
      </w:r>
      <w:r w:rsidR="00E65EAD" w:rsidRPr="00457018">
        <w:rPr>
          <w:rFonts w:ascii="Seaford" w:hAnsi="Seaford" w:cstheme="minorHAnsi"/>
          <w:b/>
          <w:bCs/>
          <w:sz w:val="22"/>
          <w:szCs w:val="22"/>
        </w:rPr>
        <w:t>to support HHAs’ ability to improve care and care access through telehealth and remote patient monitoring.</w:t>
      </w:r>
      <w:r w:rsidR="00E65EAD" w:rsidRPr="007F49F8">
        <w:rPr>
          <w:rFonts w:ascii="Seaford" w:hAnsi="Seaford" w:cstheme="minorHAnsi"/>
          <w:sz w:val="22"/>
          <w:szCs w:val="22"/>
        </w:rPr>
        <w:t xml:space="preserve"> </w:t>
      </w:r>
      <w:r w:rsidR="005F24DC" w:rsidRPr="007F49F8">
        <w:rPr>
          <w:rFonts w:ascii="Seaford" w:hAnsi="Seaford" w:cstheme="minorHAnsi"/>
          <w:sz w:val="22"/>
          <w:szCs w:val="22"/>
        </w:rPr>
        <w:t xml:space="preserve">Incorporating telehealth as an integral modality for care delivery in </w:t>
      </w:r>
      <w:r w:rsidR="007E27A3">
        <w:rPr>
          <w:rFonts w:ascii="Seaford" w:hAnsi="Seaford" w:cstheme="minorHAnsi"/>
          <w:sz w:val="22"/>
          <w:szCs w:val="22"/>
        </w:rPr>
        <w:t>HH</w:t>
      </w:r>
      <w:r w:rsidR="005F24DC" w:rsidRPr="007F49F8">
        <w:rPr>
          <w:rFonts w:ascii="Seaford" w:hAnsi="Seaford" w:cstheme="minorHAnsi"/>
          <w:sz w:val="22"/>
          <w:szCs w:val="22"/>
        </w:rPr>
        <w:t xml:space="preserve"> is critical to ensuring access to care and timely service delivery, particularly at </w:t>
      </w:r>
      <w:r w:rsidR="007E27A3">
        <w:rPr>
          <w:rFonts w:ascii="Seaford" w:hAnsi="Seaford" w:cstheme="minorHAnsi"/>
          <w:sz w:val="22"/>
          <w:szCs w:val="22"/>
        </w:rPr>
        <w:t xml:space="preserve">a </w:t>
      </w:r>
      <w:r w:rsidR="005F24DC" w:rsidRPr="007F49F8">
        <w:rPr>
          <w:rFonts w:ascii="Seaford" w:hAnsi="Seaford" w:cstheme="minorHAnsi"/>
          <w:sz w:val="22"/>
          <w:szCs w:val="22"/>
        </w:rPr>
        <w:t xml:space="preserve">time when </w:t>
      </w:r>
      <w:r w:rsidR="002926E7">
        <w:rPr>
          <w:rFonts w:ascii="Seaford" w:hAnsi="Seaford" w:cstheme="minorHAnsi"/>
          <w:sz w:val="22"/>
          <w:szCs w:val="22"/>
        </w:rPr>
        <w:t>HHAs</w:t>
      </w:r>
      <w:r w:rsidR="002926E7" w:rsidRPr="007F49F8">
        <w:rPr>
          <w:rFonts w:ascii="Seaford" w:hAnsi="Seaford" w:cstheme="minorHAnsi"/>
          <w:sz w:val="22"/>
          <w:szCs w:val="22"/>
        </w:rPr>
        <w:t xml:space="preserve"> </w:t>
      </w:r>
      <w:r w:rsidR="005F24DC" w:rsidRPr="007F49F8">
        <w:rPr>
          <w:rFonts w:ascii="Seaford" w:hAnsi="Seaford" w:cstheme="minorHAnsi"/>
          <w:sz w:val="22"/>
          <w:szCs w:val="22"/>
        </w:rPr>
        <w:t xml:space="preserve">must meet increased demand, conserve resources, and limit unnecessary visits and potential for exposure. CHA member hospitals are making significant investments to develop the infrastructure necessary to meet the needs of Medicare beneficiaries both now and in the years to come. It is critical </w:t>
      </w:r>
      <w:r w:rsidR="005F24DC" w:rsidRPr="007F49F8">
        <w:rPr>
          <w:rFonts w:ascii="Seaford" w:hAnsi="Seaford" w:cstheme="minorHAnsi"/>
          <w:sz w:val="22"/>
          <w:szCs w:val="22"/>
        </w:rPr>
        <w:lastRenderedPageBreak/>
        <w:t xml:space="preserve">that future policy provide adequate reimbursement and regulatory support to allow providers at all levels of the care continuum to develop the health care system of the future.   </w:t>
      </w:r>
    </w:p>
    <w:p w14:paraId="199D5CC9" w14:textId="77777777" w:rsidR="007F49F8" w:rsidRPr="007F49F8" w:rsidRDefault="007F49F8" w:rsidP="00107DFC">
      <w:pPr>
        <w:pStyle w:val="Default"/>
        <w:rPr>
          <w:rFonts w:ascii="Seaford" w:eastAsiaTheme="minorEastAsia" w:hAnsi="Seaford" w:cstheme="minorHAnsi"/>
          <w:b/>
          <w:bCs/>
          <w:smallCaps/>
          <w:spacing w:val="-1"/>
          <w:sz w:val="22"/>
          <w:szCs w:val="22"/>
        </w:rPr>
      </w:pPr>
    </w:p>
    <w:p w14:paraId="33030FFF" w14:textId="589C64CE" w:rsidR="006677DC" w:rsidRPr="00457018" w:rsidRDefault="006677DC" w:rsidP="00107DFC">
      <w:pPr>
        <w:pStyle w:val="Default"/>
        <w:rPr>
          <w:rFonts w:ascii="Seaford" w:eastAsia="Times New Roman" w:hAnsi="Seaford"/>
          <w:b/>
          <w:bCs/>
          <w:color w:val="auto"/>
          <w:sz w:val="28"/>
          <w:szCs w:val="28"/>
        </w:rPr>
      </w:pPr>
      <w:r w:rsidRPr="00457018">
        <w:rPr>
          <w:rFonts w:ascii="Seaford" w:eastAsia="Times New Roman" w:hAnsi="Seaford"/>
          <w:b/>
          <w:bCs/>
          <w:color w:val="auto"/>
          <w:sz w:val="28"/>
          <w:szCs w:val="28"/>
        </w:rPr>
        <w:t xml:space="preserve">All-Payer OASIS </w:t>
      </w:r>
      <w:r w:rsidR="009F4681" w:rsidRPr="00457018">
        <w:rPr>
          <w:rFonts w:ascii="Seaford" w:eastAsia="Times New Roman" w:hAnsi="Seaford"/>
          <w:b/>
          <w:bCs/>
          <w:color w:val="auto"/>
          <w:sz w:val="28"/>
          <w:szCs w:val="28"/>
        </w:rPr>
        <w:t>Data Collection</w:t>
      </w:r>
    </w:p>
    <w:p w14:paraId="5344FAEC" w14:textId="27C474F4" w:rsidR="0072587B" w:rsidRPr="007F49F8" w:rsidRDefault="0072587B" w:rsidP="00D551C4">
      <w:pPr>
        <w:pStyle w:val="NoSpacing"/>
        <w:rPr>
          <w:rFonts w:ascii="Seaford" w:hAnsi="Seaford" w:cstheme="minorHAnsi"/>
        </w:rPr>
      </w:pPr>
      <w:r w:rsidRPr="007F49F8">
        <w:rPr>
          <w:rFonts w:ascii="Seaford" w:hAnsi="Seaford" w:cstheme="minorHAnsi"/>
        </w:rPr>
        <w:t>CMS proposes to require that a</w:t>
      </w:r>
      <w:r w:rsidR="0048144B">
        <w:rPr>
          <w:rFonts w:ascii="Seaford" w:hAnsi="Seaford" w:cstheme="minorHAnsi"/>
        </w:rPr>
        <w:t>n</w:t>
      </w:r>
      <w:r w:rsidRPr="007F49F8">
        <w:rPr>
          <w:rFonts w:ascii="Seaford" w:hAnsi="Seaford" w:cstheme="minorHAnsi"/>
        </w:rPr>
        <w:t xml:space="preserve"> </w:t>
      </w:r>
      <w:r w:rsidR="000353C4">
        <w:rPr>
          <w:rFonts w:ascii="Seaford" w:hAnsi="Seaford" w:cstheme="minorHAnsi"/>
        </w:rPr>
        <w:t>HH</w:t>
      </w:r>
      <w:r w:rsidR="003F50A0" w:rsidRPr="007F49F8">
        <w:rPr>
          <w:rFonts w:ascii="Seaford" w:hAnsi="Seaford" w:cstheme="minorHAnsi"/>
        </w:rPr>
        <w:t xml:space="preserve"> </w:t>
      </w:r>
      <w:r w:rsidR="00083286" w:rsidRPr="007F49F8">
        <w:rPr>
          <w:rFonts w:ascii="Seaford" w:hAnsi="Seaford" w:cstheme="minorHAnsi"/>
        </w:rPr>
        <w:t xml:space="preserve">OASIS </w:t>
      </w:r>
      <w:r w:rsidRPr="007F49F8">
        <w:rPr>
          <w:rFonts w:ascii="Seaford" w:hAnsi="Seaford" w:cstheme="minorHAnsi"/>
        </w:rPr>
        <w:t xml:space="preserve">be completed for each patient cared for </w:t>
      </w:r>
      <w:r w:rsidR="00555F0C" w:rsidRPr="007F49F8">
        <w:rPr>
          <w:rFonts w:ascii="Seaford" w:hAnsi="Seaford" w:cstheme="minorHAnsi"/>
        </w:rPr>
        <w:t xml:space="preserve">by the HHA, </w:t>
      </w:r>
      <w:r w:rsidRPr="007F49F8">
        <w:rPr>
          <w:rFonts w:ascii="Seaford" w:hAnsi="Seaford" w:cstheme="minorHAnsi"/>
        </w:rPr>
        <w:t>regardless of payer.</w:t>
      </w:r>
      <w:r w:rsidR="00766455" w:rsidRPr="007F49F8">
        <w:rPr>
          <w:rFonts w:ascii="Seaford" w:hAnsi="Seaford" w:cstheme="minorHAnsi"/>
        </w:rPr>
        <w:t xml:space="preserve"> </w:t>
      </w:r>
      <w:r w:rsidR="00277542" w:rsidRPr="007F49F8">
        <w:rPr>
          <w:rFonts w:ascii="Seaford" w:hAnsi="Seaford"/>
        </w:rPr>
        <w:t>CMS proposes to require HHAs to submit all-payer OASIS data for purposes of the HH QRP</w:t>
      </w:r>
      <w:r w:rsidR="007126DA">
        <w:rPr>
          <w:rFonts w:ascii="Seaford" w:hAnsi="Seaford"/>
        </w:rPr>
        <w:t>,</w:t>
      </w:r>
      <w:r w:rsidR="00277542" w:rsidRPr="007F49F8">
        <w:rPr>
          <w:rFonts w:ascii="Seaford" w:hAnsi="Seaford"/>
        </w:rPr>
        <w:t xml:space="preserve"> beginning with the CY 2025 program year. The requirement will be phased in. For </w:t>
      </w:r>
      <w:r w:rsidR="003F01E5">
        <w:rPr>
          <w:rFonts w:ascii="Seaford" w:hAnsi="Seaford"/>
        </w:rPr>
        <w:t xml:space="preserve">the </w:t>
      </w:r>
      <w:r w:rsidR="00A32929" w:rsidRPr="007F49F8">
        <w:rPr>
          <w:rFonts w:ascii="Seaford" w:hAnsi="Seaford"/>
        </w:rPr>
        <w:t>CY 2025</w:t>
      </w:r>
      <w:r w:rsidR="00A32929">
        <w:rPr>
          <w:rFonts w:ascii="Seaford" w:hAnsi="Seaford"/>
        </w:rPr>
        <w:t xml:space="preserve"> </w:t>
      </w:r>
      <w:r w:rsidR="00277542" w:rsidRPr="007F49F8">
        <w:rPr>
          <w:rFonts w:ascii="Seaford" w:hAnsi="Seaford"/>
        </w:rPr>
        <w:t xml:space="preserve">program year, all-payer OASIS data will be required for two quarters (discharges between January 1 and June 30, 2024). Four-quarter (full year) reporting will begin with </w:t>
      </w:r>
      <w:r w:rsidR="003F01E5">
        <w:rPr>
          <w:rFonts w:ascii="Seaford" w:hAnsi="Seaford"/>
        </w:rPr>
        <w:t xml:space="preserve">the </w:t>
      </w:r>
      <w:r w:rsidR="00A32929" w:rsidRPr="007F49F8">
        <w:rPr>
          <w:rFonts w:ascii="Seaford" w:hAnsi="Seaford"/>
        </w:rPr>
        <w:t>CY 2026</w:t>
      </w:r>
      <w:r w:rsidR="00A32929">
        <w:rPr>
          <w:rFonts w:ascii="Seaford" w:hAnsi="Seaford"/>
        </w:rPr>
        <w:t xml:space="preserve"> </w:t>
      </w:r>
      <w:r w:rsidR="00277542" w:rsidRPr="007F49F8">
        <w:rPr>
          <w:rFonts w:ascii="Seaford" w:hAnsi="Seaford"/>
        </w:rPr>
        <w:t>program year (i.e., discharges between July 1, 2024</w:t>
      </w:r>
      <w:r w:rsidR="00A614CA">
        <w:rPr>
          <w:rFonts w:ascii="Seaford" w:hAnsi="Seaford"/>
        </w:rPr>
        <w:t>,</w:t>
      </w:r>
      <w:r w:rsidR="00277542" w:rsidRPr="007F49F8">
        <w:rPr>
          <w:rFonts w:ascii="Seaford" w:hAnsi="Seaford"/>
        </w:rPr>
        <w:t xml:space="preserve"> and June 30, 2025</w:t>
      </w:r>
      <w:r w:rsidR="00174B50">
        <w:rPr>
          <w:rFonts w:ascii="Seaford" w:hAnsi="Seaford"/>
        </w:rPr>
        <w:t>),</w:t>
      </w:r>
      <w:r w:rsidR="00277542" w:rsidRPr="007F49F8">
        <w:rPr>
          <w:rFonts w:ascii="Seaford" w:hAnsi="Seaford"/>
        </w:rPr>
        <w:t xml:space="preserve"> and advancing annually by </w:t>
      </w:r>
      <w:r w:rsidR="00A614CA">
        <w:rPr>
          <w:rFonts w:ascii="Seaford" w:hAnsi="Seaford"/>
        </w:rPr>
        <w:t>one</w:t>
      </w:r>
      <w:r w:rsidR="00A614CA" w:rsidRPr="007F49F8">
        <w:rPr>
          <w:rFonts w:ascii="Seaford" w:hAnsi="Seaford"/>
        </w:rPr>
        <w:t xml:space="preserve"> </w:t>
      </w:r>
      <w:r w:rsidR="00277542" w:rsidRPr="007F49F8">
        <w:rPr>
          <w:rFonts w:ascii="Seaford" w:hAnsi="Seaford"/>
        </w:rPr>
        <w:t xml:space="preserve">year for each subsequent program year.   </w:t>
      </w:r>
      <w:r w:rsidRPr="007F49F8">
        <w:rPr>
          <w:rFonts w:ascii="Seaford" w:hAnsi="Seaford" w:cstheme="minorHAnsi"/>
        </w:rPr>
        <w:t xml:space="preserve"> </w:t>
      </w:r>
    </w:p>
    <w:p w14:paraId="4FD542D1" w14:textId="77777777" w:rsidR="00E41E0D" w:rsidRPr="007F49F8" w:rsidRDefault="00E41E0D" w:rsidP="0072587B">
      <w:pPr>
        <w:rPr>
          <w:rFonts w:ascii="Seaford" w:hAnsi="Seaford" w:cstheme="minorHAnsi"/>
          <w:sz w:val="22"/>
          <w:szCs w:val="22"/>
        </w:rPr>
      </w:pPr>
    </w:p>
    <w:p w14:paraId="2005F274" w14:textId="2EBA2FDC" w:rsidR="005B2F49" w:rsidRPr="007F49F8" w:rsidRDefault="0072587B" w:rsidP="0072587B">
      <w:pPr>
        <w:rPr>
          <w:rFonts w:ascii="Seaford" w:hAnsi="Seaford" w:cstheme="minorHAnsi"/>
          <w:sz w:val="22"/>
          <w:szCs w:val="22"/>
        </w:rPr>
      </w:pPr>
      <w:r w:rsidRPr="007F49F8">
        <w:rPr>
          <w:rFonts w:ascii="Seaford" w:hAnsi="Seaford" w:cstheme="minorHAnsi"/>
          <w:sz w:val="22"/>
          <w:szCs w:val="22"/>
        </w:rPr>
        <w:t xml:space="preserve">CHA supports the goal of standardizing the collection and reporting of patient assessment data and quality reporting measures across post-acute care settings. CHA member </w:t>
      </w:r>
      <w:r w:rsidR="006F1087" w:rsidRPr="007F49F8">
        <w:rPr>
          <w:rFonts w:ascii="Seaford" w:hAnsi="Seaford" w:cstheme="minorHAnsi"/>
          <w:sz w:val="22"/>
          <w:szCs w:val="22"/>
        </w:rPr>
        <w:t xml:space="preserve">HHAs </w:t>
      </w:r>
      <w:r w:rsidRPr="007F49F8">
        <w:rPr>
          <w:rFonts w:ascii="Seaford" w:hAnsi="Seaford" w:cstheme="minorHAnsi"/>
          <w:sz w:val="22"/>
          <w:szCs w:val="22"/>
        </w:rPr>
        <w:t xml:space="preserve">also recognize the value of collecting and reporting data on patients regardless of </w:t>
      </w:r>
      <w:r w:rsidR="005F295B" w:rsidRPr="007F49F8">
        <w:rPr>
          <w:rFonts w:ascii="Seaford" w:hAnsi="Seaford" w:cstheme="minorHAnsi"/>
          <w:sz w:val="22"/>
          <w:szCs w:val="22"/>
        </w:rPr>
        <w:t>pay</w:t>
      </w:r>
      <w:r w:rsidR="005F295B">
        <w:rPr>
          <w:rFonts w:ascii="Seaford" w:hAnsi="Seaford" w:cstheme="minorHAnsi"/>
          <w:sz w:val="22"/>
          <w:szCs w:val="22"/>
        </w:rPr>
        <w:t>e</w:t>
      </w:r>
      <w:r w:rsidR="005F295B" w:rsidRPr="007F49F8">
        <w:rPr>
          <w:rFonts w:ascii="Seaford" w:hAnsi="Seaford" w:cstheme="minorHAnsi"/>
          <w:sz w:val="22"/>
          <w:szCs w:val="22"/>
        </w:rPr>
        <w:t xml:space="preserve">r </w:t>
      </w:r>
      <w:r w:rsidRPr="007F49F8">
        <w:rPr>
          <w:rFonts w:ascii="Seaford" w:hAnsi="Seaford" w:cstheme="minorHAnsi"/>
          <w:sz w:val="22"/>
          <w:szCs w:val="22"/>
        </w:rPr>
        <w:t xml:space="preserve">type. </w:t>
      </w:r>
      <w:r w:rsidR="00C8229E" w:rsidRPr="007F49F8">
        <w:rPr>
          <w:rFonts w:ascii="Seaford" w:hAnsi="Seaford" w:cstheme="minorHAnsi"/>
          <w:sz w:val="22"/>
          <w:szCs w:val="22"/>
        </w:rPr>
        <w:t xml:space="preserve">In fact, </w:t>
      </w:r>
      <w:r w:rsidR="00174B50">
        <w:rPr>
          <w:rFonts w:ascii="Seaford" w:hAnsi="Seaford" w:cstheme="minorHAnsi"/>
          <w:sz w:val="22"/>
          <w:szCs w:val="22"/>
        </w:rPr>
        <w:t xml:space="preserve">some CHA member </w:t>
      </w:r>
      <w:r w:rsidR="006F1087" w:rsidRPr="007F49F8">
        <w:rPr>
          <w:rFonts w:ascii="Seaford" w:hAnsi="Seaford" w:cstheme="minorHAnsi"/>
          <w:sz w:val="22"/>
          <w:szCs w:val="22"/>
        </w:rPr>
        <w:t xml:space="preserve">HHAs </w:t>
      </w:r>
      <w:r w:rsidRPr="007F49F8">
        <w:rPr>
          <w:rFonts w:ascii="Seaford" w:hAnsi="Seaford" w:cstheme="minorHAnsi"/>
          <w:sz w:val="22"/>
          <w:szCs w:val="22"/>
        </w:rPr>
        <w:t xml:space="preserve">report that they currently complete </w:t>
      </w:r>
      <w:r w:rsidR="00562E2B" w:rsidRPr="007F49F8">
        <w:rPr>
          <w:rFonts w:ascii="Seaford" w:hAnsi="Seaford" w:cstheme="minorHAnsi"/>
          <w:sz w:val="22"/>
          <w:szCs w:val="22"/>
        </w:rPr>
        <w:t xml:space="preserve">the OASIS </w:t>
      </w:r>
      <w:r w:rsidRPr="007F49F8">
        <w:rPr>
          <w:rFonts w:ascii="Seaford" w:hAnsi="Seaford" w:cstheme="minorHAnsi"/>
          <w:sz w:val="22"/>
          <w:szCs w:val="22"/>
        </w:rPr>
        <w:t xml:space="preserve">on all admissions, rather than limiting completion to Medicare beneficiaries only. However, CHA is concerned that </w:t>
      </w:r>
      <w:r w:rsidR="00D74E55" w:rsidRPr="007F49F8">
        <w:rPr>
          <w:rFonts w:ascii="Seaford" w:hAnsi="Seaford" w:cstheme="minorHAnsi"/>
          <w:sz w:val="22"/>
          <w:szCs w:val="22"/>
        </w:rPr>
        <w:t xml:space="preserve">expanding </w:t>
      </w:r>
      <w:r w:rsidR="009521CC" w:rsidRPr="007F49F8">
        <w:rPr>
          <w:rFonts w:ascii="Seaford" w:hAnsi="Seaford" w:cstheme="minorHAnsi"/>
          <w:sz w:val="22"/>
          <w:szCs w:val="22"/>
        </w:rPr>
        <w:t xml:space="preserve">the requirement for completion to all payers will </w:t>
      </w:r>
      <w:r w:rsidR="001B133B">
        <w:rPr>
          <w:rFonts w:ascii="Seaford" w:hAnsi="Seaford" w:cstheme="minorHAnsi"/>
          <w:sz w:val="22"/>
          <w:szCs w:val="22"/>
        </w:rPr>
        <w:t>result in</w:t>
      </w:r>
      <w:r w:rsidR="001B133B" w:rsidRPr="007F49F8">
        <w:rPr>
          <w:rFonts w:ascii="Seaford" w:hAnsi="Seaford" w:cstheme="minorHAnsi"/>
          <w:sz w:val="22"/>
          <w:szCs w:val="22"/>
        </w:rPr>
        <w:t xml:space="preserve"> </w:t>
      </w:r>
      <w:r w:rsidR="009521CC" w:rsidRPr="007F49F8">
        <w:rPr>
          <w:rFonts w:ascii="Seaford" w:hAnsi="Seaford" w:cstheme="minorHAnsi"/>
          <w:sz w:val="22"/>
          <w:szCs w:val="22"/>
        </w:rPr>
        <w:t>signifi</w:t>
      </w:r>
      <w:r w:rsidR="008A052D" w:rsidRPr="007F49F8">
        <w:rPr>
          <w:rFonts w:ascii="Seaford" w:hAnsi="Seaford" w:cstheme="minorHAnsi"/>
          <w:sz w:val="22"/>
          <w:szCs w:val="22"/>
        </w:rPr>
        <w:t xml:space="preserve">cant </w:t>
      </w:r>
      <w:r w:rsidR="00DF008A" w:rsidRPr="007F49F8">
        <w:rPr>
          <w:rFonts w:ascii="Seaford" w:hAnsi="Seaford" w:cstheme="minorHAnsi"/>
          <w:sz w:val="22"/>
          <w:szCs w:val="22"/>
        </w:rPr>
        <w:t>additional cost</w:t>
      </w:r>
      <w:r w:rsidR="006B7DF9" w:rsidRPr="007F49F8">
        <w:rPr>
          <w:rFonts w:ascii="Seaford" w:hAnsi="Seaford" w:cstheme="minorHAnsi"/>
          <w:sz w:val="22"/>
          <w:szCs w:val="22"/>
        </w:rPr>
        <w:t>, further strain limited HHA resources,</w:t>
      </w:r>
      <w:r w:rsidR="00DF008A" w:rsidRPr="007F49F8">
        <w:rPr>
          <w:rFonts w:ascii="Seaford" w:hAnsi="Seaford" w:cstheme="minorHAnsi"/>
          <w:sz w:val="22"/>
          <w:szCs w:val="22"/>
        </w:rPr>
        <w:t xml:space="preserve"> </w:t>
      </w:r>
      <w:r w:rsidRPr="007F49F8">
        <w:rPr>
          <w:rFonts w:ascii="Seaford" w:hAnsi="Seaford" w:cstheme="minorHAnsi"/>
          <w:sz w:val="22"/>
          <w:szCs w:val="22"/>
        </w:rPr>
        <w:t xml:space="preserve">and does not allow sufficient time for necessary preparation, particularly </w:t>
      </w:r>
      <w:r w:rsidR="00E544EF" w:rsidRPr="007F49F8">
        <w:rPr>
          <w:rFonts w:ascii="Seaford" w:hAnsi="Seaford" w:cstheme="minorHAnsi"/>
          <w:sz w:val="22"/>
          <w:szCs w:val="22"/>
        </w:rPr>
        <w:t>in</w:t>
      </w:r>
      <w:r w:rsidR="005B2F49" w:rsidRPr="007F49F8">
        <w:rPr>
          <w:rFonts w:ascii="Seaford" w:hAnsi="Seaford" w:cstheme="minorHAnsi"/>
          <w:sz w:val="22"/>
          <w:szCs w:val="22"/>
        </w:rPr>
        <w:t xml:space="preserve"> </w:t>
      </w:r>
      <w:r w:rsidR="00E544EF" w:rsidRPr="007F49F8">
        <w:rPr>
          <w:rFonts w:ascii="Seaford" w:hAnsi="Seaford" w:cstheme="minorHAnsi"/>
          <w:sz w:val="22"/>
          <w:szCs w:val="22"/>
        </w:rPr>
        <w:t xml:space="preserve">consideration of the </w:t>
      </w:r>
      <w:r w:rsidR="002215D3" w:rsidRPr="007F49F8">
        <w:rPr>
          <w:rFonts w:ascii="Seaford" w:hAnsi="Seaford" w:cstheme="minorHAnsi"/>
          <w:sz w:val="22"/>
          <w:szCs w:val="22"/>
        </w:rPr>
        <w:t xml:space="preserve">impact of </w:t>
      </w:r>
      <w:r w:rsidR="00130B0D" w:rsidRPr="007F49F8">
        <w:rPr>
          <w:rFonts w:ascii="Seaford" w:hAnsi="Seaford" w:cstheme="minorHAnsi"/>
          <w:sz w:val="22"/>
          <w:szCs w:val="22"/>
        </w:rPr>
        <w:t>PDGM</w:t>
      </w:r>
      <w:r w:rsidR="00D62E67" w:rsidRPr="007F49F8">
        <w:rPr>
          <w:rFonts w:ascii="Seaford" w:hAnsi="Seaford" w:cstheme="minorHAnsi"/>
          <w:sz w:val="22"/>
          <w:szCs w:val="22"/>
        </w:rPr>
        <w:t xml:space="preserve"> and </w:t>
      </w:r>
      <w:r w:rsidR="00171EE9" w:rsidRPr="007F49F8">
        <w:rPr>
          <w:rFonts w:ascii="Seaford" w:hAnsi="Seaford" w:cstheme="minorHAnsi"/>
          <w:sz w:val="22"/>
          <w:szCs w:val="22"/>
        </w:rPr>
        <w:t>t</w:t>
      </w:r>
      <w:r w:rsidR="002215D3" w:rsidRPr="007F49F8">
        <w:rPr>
          <w:rFonts w:ascii="Seaford" w:hAnsi="Seaford" w:cstheme="minorHAnsi"/>
          <w:sz w:val="22"/>
          <w:szCs w:val="22"/>
        </w:rPr>
        <w:t xml:space="preserve">he ongoing </w:t>
      </w:r>
      <w:r w:rsidR="001B133B">
        <w:rPr>
          <w:rFonts w:ascii="Seaford" w:hAnsi="Seaford" w:cstheme="minorHAnsi"/>
          <w:sz w:val="22"/>
          <w:szCs w:val="22"/>
        </w:rPr>
        <w:t>PHE</w:t>
      </w:r>
      <w:r w:rsidR="0064253E" w:rsidRPr="007F49F8">
        <w:rPr>
          <w:rFonts w:ascii="Seaford" w:hAnsi="Seaford" w:cstheme="minorHAnsi"/>
          <w:sz w:val="22"/>
          <w:szCs w:val="22"/>
        </w:rPr>
        <w:t xml:space="preserve">.  </w:t>
      </w:r>
    </w:p>
    <w:p w14:paraId="2EE6E4E7" w14:textId="77777777" w:rsidR="0072587B" w:rsidRPr="007F49F8" w:rsidRDefault="0072587B" w:rsidP="0072587B">
      <w:pPr>
        <w:rPr>
          <w:rFonts w:ascii="Seaford" w:hAnsi="Seaford" w:cstheme="minorHAnsi"/>
          <w:sz w:val="22"/>
          <w:szCs w:val="22"/>
        </w:rPr>
      </w:pPr>
    </w:p>
    <w:p w14:paraId="7A5213EB" w14:textId="6944FCD1" w:rsidR="0070369D" w:rsidRPr="007F49F8" w:rsidRDefault="0072587B" w:rsidP="00153B87">
      <w:pPr>
        <w:rPr>
          <w:rFonts w:ascii="Seaford" w:hAnsi="Seaford" w:cstheme="minorHAnsi"/>
          <w:b/>
          <w:bCs/>
          <w:sz w:val="22"/>
          <w:szCs w:val="22"/>
        </w:rPr>
      </w:pPr>
      <w:r w:rsidRPr="007F49F8">
        <w:rPr>
          <w:rFonts w:ascii="Seaford" w:hAnsi="Seaford" w:cstheme="minorHAnsi"/>
          <w:b/>
          <w:bCs/>
          <w:sz w:val="22"/>
          <w:szCs w:val="22"/>
        </w:rPr>
        <w:t xml:space="preserve">CHA urges CMS to delay the requirement for </w:t>
      </w:r>
      <w:r w:rsidR="001B133B">
        <w:rPr>
          <w:rFonts w:ascii="Seaford" w:hAnsi="Seaford" w:cstheme="minorHAnsi"/>
          <w:b/>
          <w:bCs/>
          <w:sz w:val="22"/>
          <w:szCs w:val="22"/>
        </w:rPr>
        <w:t xml:space="preserve">the </w:t>
      </w:r>
      <w:r w:rsidRPr="007F49F8">
        <w:rPr>
          <w:rFonts w:ascii="Seaford" w:hAnsi="Seaford" w:cstheme="minorHAnsi"/>
          <w:b/>
          <w:bCs/>
          <w:sz w:val="22"/>
          <w:szCs w:val="22"/>
        </w:rPr>
        <w:t xml:space="preserve">implementation of the updated </w:t>
      </w:r>
      <w:r w:rsidR="00CE1797" w:rsidRPr="007F49F8">
        <w:rPr>
          <w:rFonts w:ascii="Seaford" w:hAnsi="Seaford" w:cstheme="minorHAnsi"/>
          <w:b/>
          <w:bCs/>
          <w:sz w:val="22"/>
          <w:szCs w:val="22"/>
        </w:rPr>
        <w:t xml:space="preserve">OASIS </w:t>
      </w:r>
      <w:r w:rsidRPr="007F49F8">
        <w:rPr>
          <w:rFonts w:ascii="Seaford" w:hAnsi="Seaford" w:cstheme="minorHAnsi"/>
          <w:b/>
          <w:bCs/>
          <w:sz w:val="22"/>
          <w:szCs w:val="22"/>
        </w:rPr>
        <w:t xml:space="preserve">for all payers until at least </w:t>
      </w:r>
      <w:r w:rsidR="00CE1797" w:rsidRPr="007F49F8">
        <w:rPr>
          <w:rFonts w:ascii="Seaford" w:hAnsi="Seaford" w:cstheme="minorHAnsi"/>
          <w:b/>
          <w:bCs/>
          <w:sz w:val="22"/>
          <w:szCs w:val="22"/>
        </w:rPr>
        <w:t xml:space="preserve">January </w:t>
      </w:r>
      <w:r w:rsidR="0075701A" w:rsidRPr="007F49F8">
        <w:rPr>
          <w:rFonts w:ascii="Seaford" w:hAnsi="Seaford" w:cstheme="minorHAnsi"/>
          <w:b/>
          <w:bCs/>
          <w:sz w:val="22"/>
          <w:szCs w:val="22"/>
        </w:rPr>
        <w:t xml:space="preserve">2025, to </w:t>
      </w:r>
      <w:r w:rsidRPr="007F49F8">
        <w:rPr>
          <w:rFonts w:ascii="Seaford" w:hAnsi="Seaford" w:cstheme="minorHAnsi"/>
          <w:b/>
          <w:bCs/>
          <w:sz w:val="22"/>
          <w:szCs w:val="22"/>
        </w:rPr>
        <w:t xml:space="preserve">allow for the opportunity </w:t>
      </w:r>
      <w:r w:rsidR="0075701A" w:rsidRPr="007F49F8">
        <w:rPr>
          <w:rFonts w:ascii="Seaford" w:hAnsi="Seaford" w:cstheme="minorHAnsi"/>
          <w:b/>
          <w:bCs/>
          <w:sz w:val="22"/>
          <w:szCs w:val="22"/>
        </w:rPr>
        <w:t xml:space="preserve">for HHAs to </w:t>
      </w:r>
      <w:r w:rsidRPr="007F49F8">
        <w:rPr>
          <w:rFonts w:ascii="Seaford" w:hAnsi="Seaford" w:cstheme="minorHAnsi"/>
          <w:b/>
          <w:bCs/>
          <w:sz w:val="22"/>
          <w:szCs w:val="22"/>
        </w:rPr>
        <w:t xml:space="preserve">develop a clearer understanding of the necessary time commitment and operational considerations. </w:t>
      </w:r>
    </w:p>
    <w:p w14:paraId="0D0D0720" w14:textId="47D71497" w:rsidR="002D161D" w:rsidRPr="007F49F8" w:rsidRDefault="002D161D" w:rsidP="00153B87">
      <w:pPr>
        <w:rPr>
          <w:rFonts w:ascii="Seaford" w:hAnsi="Seaford" w:cstheme="minorHAnsi"/>
          <w:b/>
          <w:bCs/>
          <w:sz w:val="22"/>
          <w:szCs w:val="22"/>
        </w:rPr>
      </w:pPr>
    </w:p>
    <w:p w14:paraId="213DC704" w14:textId="4CC395FA" w:rsidR="002D161D" w:rsidRPr="007F49F8" w:rsidRDefault="002D161D" w:rsidP="00153B87">
      <w:pPr>
        <w:rPr>
          <w:rFonts w:ascii="Seaford" w:hAnsi="Seaford"/>
          <w:sz w:val="22"/>
          <w:szCs w:val="22"/>
        </w:rPr>
      </w:pPr>
      <w:r w:rsidRPr="007F49F8">
        <w:rPr>
          <w:rFonts w:ascii="Seaford" w:hAnsi="Seaford" w:cstheme="minorHAnsi"/>
          <w:sz w:val="22"/>
          <w:szCs w:val="22"/>
        </w:rPr>
        <w:t>We appreciate CMS’ recent decision to d</w:t>
      </w:r>
      <w:r w:rsidR="007F49F8" w:rsidRPr="007F49F8">
        <w:rPr>
          <w:rFonts w:ascii="Seaford" w:hAnsi="Seaford" w:cstheme="minorHAnsi"/>
          <w:sz w:val="22"/>
          <w:szCs w:val="22"/>
        </w:rPr>
        <w:t>elay</w:t>
      </w:r>
      <w:r w:rsidRPr="007F49F8">
        <w:rPr>
          <w:rFonts w:ascii="Seaford" w:hAnsi="Seaford" w:cstheme="minorHAnsi"/>
          <w:sz w:val="22"/>
          <w:szCs w:val="22"/>
        </w:rPr>
        <w:t xml:space="preserve"> for one year the requirement to complete the inpatient rehabilitation facility </w:t>
      </w:r>
      <w:r w:rsidR="00160E79">
        <w:rPr>
          <w:rFonts w:ascii="Seaford" w:hAnsi="Seaford" w:cstheme="minorHAnsi"/>
          <w:sz w:val="22"/>
          <w:szCs w:val="22"/>
        </w:rPr>
        <w:t xml:space="preserve">(IRF) </w:t>
      </w:r>
      <w:r w:rsidRPr="007F49F8">
        <w:rPr>
          <w:rFonts w:ascii="Seaford" w:hAnsi="Seaford" w:cstheme="minorHAnsi"/>
          <w:sz w:val="22"/>
          <w:szCs w:val="22"/>
        </w:rPr>
        <w:t xml:space="preserve">patient assessment instrument for all payers, as noted in the IRF PPS final rule. In that context, we believe that implementing a similar delay in the HHA setting for OASIS </w:t>
      </w:r>
      <w:r w:rsidR="000A6EBA" w:rsidRPr="007F49F8">
        <w:rPr>
          <w:rFonts w:ascii="Seaford" w:hAnsi="Seaford" w:cstheme="minorHAnsi"/>
          <w:sz w:val="22"/>
          <w:szCs w:val="22"/>
        </w:rPr>
        <w:t xml:space="preserve">will provide additional time to </w:t>
      </w:r>
      <w:r w:rsidR="00DC3D2F" w:rsidRPr="007F49F8">
        <w:rPr>
          <w:rFonts w:ascii="Seaford" w:hAnsi="Seaford" w:cstheme="minorHAnsi"/>
          <w:sz w:val="22"/>
          <w:szCs w:val="22"/>
        </w:rPr>
        <w:t>operationalize this significant change, w</w:t>
      </w:r>
      <w:r w:rsidR="006E60CB" w:rsidRPr="007F49F8">
        <w:rPr>
          <w:rFonts w:ascii="Seaford" w:hAnsi="Seaford" w:cstheme="minorHAnsi"/>
          <w:sz w:val="22"/>
          <w:szCs w:val="22"/>
        </w:rPr>
        <w:t xml:space="preserve">ithout limiting </w:t>
      </w:r>
      <w:r w:rsidR="006B20C3" w:rsidRPr="007F49F8">
        <w:rPr>
          <w:rFonts w:ascii="Seaford" w:hAnsi="Seaford" w:cstheme="minorHAnsi"/>
          <w:sz w:val="22"/>
          <w:szCs w:val="22"/>
        </w:rPr>
        <w:t>CMS’ goal</w:t>
      </w:r>
      <w:r w:rsidR="00B0035A" w:rsidRPr="007F49F8">
        <w:rPr>
          <w:rFonts w:ascii="Seaford" w:hAnsi="Seaford" w:cstheme="minorHAnsi"/>
          <w:sz w:val="22"/>
          <w:szCs w:val="22"/>
        </w:rPr>
        <w:t xml:space="preserve">s </w:t>
      </w:r>
      <w:r w:rsidR="00915F5D">
        <w:rPr>
          <w:rFonts w:ascii="Seaford" w:hAnsi="Seaford" w:cstheme="minorHAnsi"/>
          <w:sz w:val="22"/>
          <w:szCs w:val="22"/>
        </w:rPr>
        <w:t>of</w:t>
      </w:r>
      <w:r w:rsidR="00915F5D" w:rsidRPr="007F49F8">
        <w:rPr>
          <w:rFonts w:ascii="Seaford" w:hAnsi="Seaford" w:cstheme="minorHAnsi"/>
          <w:sz w:val="22"/>
          <w:szCs w:val="22"/>
        </w:rPr>
        <w:t xml:space="preserve"> </w:t>
      </w:r>
      <w:r w:rsidR="006B20C3" w:rsidRPr="007F49F8">
        <w:rPr>
          <w:rFonts w:ascii="Seaford" w:hAnsi="Seaford" w:cstheme="minorHAnsi"/>
          <w:sz w:val="22"/>
          <w:szCs w:val="22"/>
        </w:rPr>
        <w:t>align</w:t>
      </w:r>
      <w:r w:rsidR="00915F5D">
        <w:rPr>
          <w:rFonts w:ascii="Seaford" w:hAnsi="Seaford" w:cstheme="minorHAnsi"/>
          <w:sz w:val="22"/>
          <w:szCs w:val="22"/>
        </w:rPr>
        <w:t>ing</w:t>
      </w:r>
      <w:r w:rsidR="006B20C3" w:rsidRPr="007F49F8">
        <w:rPr>
          <w:rFonts w:ascii="Seaford" w:hAnsi="Seaford" w:cstheme="minorHAnsi"/>
          <w:sz w:val="22"/>
          <w:szCs w:val="22"/>
        </w:rPr>
        <w:t xml:space="preserve"> quality repo</w:t>
      </w:r>
      <w:r w:rsidR="00B0035A" w:rsidRPr="007F49F8">
        <w:rPr>
          <w:rFonts w:ascii="Seaford" w:hAnsi="Seaford" w:cstheme="minorHAnsi"/>
          <w:sz w:val="22"/>
          <w:szCs w:val="22"/>
        </w:rPr>
        <w:t xml:space="preserve">rting across care settings.  </w:t>
      </w:r>
    </w:p>
    <w:p w14:paraId="706E9FFF" w14:textId="77777777" w:rsidR="0070369D" w:rsidRPr="007F49F8" w:rsidRDefault="0070369D" w:rsidP="00221870">
      <w:pPr>
        <w:pStyle w:val="NoSpacing"/>
        <w:rPr>
          <w:rFonts w:ascii="Seaford" w:hAnsi="Seaford"/>
        </w:rPr>
      </w:pPr>
    </w:p>
    <w:p w14:paraId="36522D2F" w14:textId="39D30B8B" w:rsidR="00107DFC" w:rsidRPr="007F49F8" w:rsidRDefault="00107DFC" w:rsidP="00221870">
      <w:pPr>
        <w:pStyle w:val="NoSpacing"/>
        <w:rPr>
          <w:rFonts w:ascii="Seaford" w:hAnsi="Seaford"/>
        </w:rPr>
      </w:pPr>
      <w:r w:rsidRPr="007F49F8">
        <w:rPr>
          <w:rFonts w:ascii="Seaford" w:hAnsi="Seaford"/>
        </w:rPr>
        <w:t>CHA appreciates the opportunity to comment on the HH PPS proposed rule for CY 202</w:t>
      </w:r>
      <w:r w:rsidR="008E45A8" w:rsidRPr="007F49F8">
        <w:rPr>
          <w:rFonts w:ascii="Seaford" w:hAnsi="Seaford"/>
        </w:rPr>
        <w:t>3</w:t>
      </w:r>
      <w:r w:rsidRPr="007F49F8">
        <w:rPr>
          <w:rFonts w:ascii="Seaford" w:hAnsi="Seaford"/>
        </w:rPr>
        <w:t xml:space="preserve">. If you have any questions, please do not hesitate to contact me at </w:t>
      </w:r>
      <w:hyperlink r:id="rId12" w:history="1">
        <w:r w:rsidRPr="007F49F8">
          <w:rPr>
            <w:rStyle w:val="Hyperlink"/>
            <w:rFonts w:ascii="Seaford" w:hAnsi="Seaford" w:cstheme="minorHAnsi"/>
          </w:rPr>
          <w:t>mhoward@calhospital.org</w:t>
        </w:r>
      </w:hyperlink>
      <w:r w:rsidRPr="007F49F8">
        <w:rPr>
          <w:rFonts w:ascii="Seaford" w:hAnsi="Seaford"/>
        </w:rPr>
        <w:t xml:space="preserve"> or (202) 488-3742, or my colleague Pat Blaisdell, vice president, continuum of care, at </w:t>
      </w:r>
      <w:hyperlink r:id="rId13" w:history="1">
        <w:r w:rsidRPr="007F49F8">
          <w:rPr>
            <w:rStyle w:val="Hyperlink"/>
            <w:rFonts w:ascii="Seaford" w:hAnsi="Seaford" w:cstheme="minorHAnsi"/>
          </w:rPr>
          <w:t>pblaisdell@calhospital.org</w:t>
        </w:r>
      </w:hyperlink>
      <w:r w:rsidRPr="007F49F8">
        <w:rPr>
          <w:rFonts w:ascii="Seaford" w:hAnsi="Seaford"/>
          <w:color w:val="0000FF"/>
        </w:rPr>
        <w:t xml:space="preserve"> </w:t>
      </w:r>
      <w:r w:rsidRPr="007F49F8">
        <w:rPr>
          <w:rFonts w:ascii="Seaford" w:hAnsi="Seaford"/>
        </w:rPr>
        <w:t xml:space="preserve">or (916) 552-7553. </w:t>
      </w:r>
    </w:p>
    <w:p w14:paraId="099C3E24" w14:textId="77777777" w:rsidR="00107DFC" w:rsidRPr="007F49F8" w:rsidRDefault="00107DFC" w:rsidP="00107DFC">
      <w:pPr>
        <w:pStyle w:val="Default"/>
        <w:rPr>
          <w:rFonts w:ascii="Seaford" w:hAnsi="Seaford" w:cstheme="minorHAnsi"/>
          <w:sz w:val="22"/>
          <w:szCs w:val="22"/>
        </w:rPr>
      </w:pPr>
      <w:r w:rsidRPr="007F49F8">
        <w:rPr>
          <w:rFonts w:ascii="Seaford" w:hAnsi="Seaford" w:cstheme="minorHAnsi"/>
          <w:sz w:val="22"/>
          <w:szCs w:val="22"/>
        </w:rPr>
        <w:t xml:space="preserve"> </w:t>
      </w:r>
    </w:p>
    <w:p w14:paraId="4A08AB4B" w14:textId="77777777" w:rsidR="00107DFC" w:rsidRPr="007F49F8" w:rsidRDefault="00107DFC" w:rsidP="00107DFC">
      <w:pPr>
        <w:pStyle w:val="Default"/>
        <w:rPr>
          <w:rFonts w:ascii="Seaford" w:hAnsi="Seaford" w:cstheme="minorHAnsi"/>
          <w:sz w:val="22"/>
          <w:szCs w:val="22"/>
        </w:rPr>
      </w:pPr>
      <w:r w:rsidRPr="007F49F8">
        <w:rPr>
          <w:rFonts w:ascii="Seaford" w:hAnsi="Seaford" w:cstheme="minorHAnsi"/>
          <w:sz w:val="22"/>
          <w:szCs w:val="22"/>
        </w:rPr>
        <w:t xml:space="preserve">Sincerely, </w:t>
      </w:r>
    </w:p>
    <w:p w14:paraId="49A02946" w14:textId="77777777" w:rsidR="00107DFC" w:rsidRPr="007F49F8" w:rsidRDefault="00107DFC" w:rsidP="00107DFC">
      <w:pPr>
        <w:pStyle w:val="Default"/>
        <w:rPr>
          <w:rFonts w:ascii="Seaford" w:hAnsi="Seaford" w:cstheme="minorHAnsi"/>
          <w:sz w:val="22"/>
          <w:szCs w:val="22"/>
        </w:rPr>
      </w:pPr>
      <w:r w:rsidRPr="007F49F8">
        <w:rPr>
          <w:rFonts w:ascii="Seaford" w:hAnsi="Seaford" w:cstheme="minorHAnsi"/>
          <w:sz w:val="22"/>
          <w:szCs w:val="22"/>
        </w:rPr>
        <w:t xml:space="preserve">/s/ </w:t>
      </w:r>
    </w:p>
    <w:p w14:paraId="205C31C8" w14:textId="77777777" w:rsidR="00107DFC" w:rsidRPr="007F49F8" w:rsidRDefault="00107DFC" w:rsidP="00107DFC">
      <w:pPr>
        <w:pStyle w:val="Default"/>
        <w:rPr>
          <w:rFonts w:ascii="Seaford" w:hAnsi="Seaford" w:cstheme="minorHAnsi"/>
          <w:sz w:val="22"/>
          <w:szCs w:val="22"/>
        </w:rPr>
      </w:pPr>
      <w:r w:rsidRPr="007F49F8">
        <w:rPr>
          <w:rFonts w:ascii="Seaford" w:hAnsi="Seaford" w:cstheme="minorHAnsi"/>
          <w:sz w:val="22"/>
          <w:szCs w:val="22"/>
        </w:rPr>
        <w:t>Megan Howard</w:t>
      </w:r>
      <w:r w:rsidRPr="007F49F8">
        <w:rPr>
          <w:rFonts w:ascii="Seaford" w:hAnsi="Seaford" w:cstheme="minorHAnsi"/>
          <w:sz w:val="22"/>
          <w:szCs w:val="22"/>
        </w:rPr>
        <w:br/>
        <w:t>Vice President, Federal Policy</w:t>
      </w:r>
    </w:p>
    <w:p w14:paraId="54A4F1B9" w14:textId="77777777" w:rsidR="00B768C7" w:rsidRPr="007F49F8" w:rsidRDefault="00B768C7" w:rsidP="0085009E">
      <w:pPr>
        <w:rPr>
          <w:rFonts w:ascii="Seaford" w:hAnsi="Seaford" w:cs="Arial"/>
          <w:sz w:val="22"/>
          <w:szCs w:val="22"/>
        </w:rPr>
      </w:pPr>
    </w:p>
    <w:p w14:paraId="56DA24FE" w14:textId="77777777" w:rsidR="004B0061" w:rsidRPr="008527A3" w:rsidRDefault="004B0061" w:rsidP="0085009E">
      <w:pPr>
        <w:rPr>
          <w:rFonts w:ascii="Seaford" w:hAnsi="Seaford" w:cs="Arial"/>
          <w:sz w:val="2"/>
          <w:szCs w:val="2"/>
        </w:rPr>
      </w:pPr>
    </w:p>
    <w:p w14:paraId="09C9F580" w14:textId="77777777" w:rsidR="00C46B47" w:rsidRPr="008527A3" w:rsidRDefault="00C46B47" w:rsidP="0085009E">
      <w:pPr>
        <w:rPr>
          <w:rFonts w:ascii="Seaford" w:hAnsi="Seaford" w:cs="Arial"/>
          <w:sz w:val="2"/>
          <w:szCs w:val="2"/>
        </w:rPr>
      </w:pPr>
    </w:p>
    <w:sectPr w:rsidR="00C46B47" w:rsidRPr="008527A3" w:rsidSect="007223D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080" w:bottom="1080" w:left="108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2C0D" w14:textId="77777777" w:rsidR="008D039A" w:rsidRDefault="008D039A">
      <w:r>
        <w:separator/>
      </w:r>
    </w:p>
  </w:endnote>
  <w:endnote w:type="continuationSeparator" w:id="0">
    <w:p w14:paraId="4C181863" w14:textId="77777777" w:rsidR="008D039A" w:rsidRDefault="008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ford">
    <w:altName w:val="Seaford"/>
    <w:panose1 w:val="020B0502030303020204"/>
    <w:charset w:val="00"/>
    <w:family w:val="swiss"/>
    <w:pitch w:val="variable"/>
    <w:sig w:usb0="80000003" w:usb1="00000001"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907D" w14:textId="77777777" w:rsidR="00476D9E" w:rsidRDefault="0047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B6E1" w14:textId="77777777" w:rsidR="00CC3076" w:rsidRDefault="00CC3076">
    <w:pPr>
      <w:pStyle w:val="Footer"/>
      <w:rPr>
        <w:noProof/>
      </w:rPr>
    </w:pPr>
  </w:p>
  <w:p w14:paraId="463CB040" w14:textId="2ADE09C2" w:rsidR="00CC3076" w:rsidRDefault="00CC3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C4D9" w14:textId="77777777" w:rsidR="00BB03F3" w:rsidRDefault="003F7BE3" w:rsidP="001C251E">
    <w:pPr>
      <w:pStyle w:val="Footer"/>
      <w:spacing w:before="280"/>
      <w:jc w:val="center"/>
    </w:pPr>
    <w:r>
      <w:rPr>
        <w:noProof/>
      </w:rPr>
      <w:drawing>
        <wp:inline distT="0" distB="0" distL="0" distR="0" wp14:anchorId="71C23298" wp14:editId="0C67CE94">
          <wp:extent cx="6391656" cy="55778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1656" cy="5577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200B" w14:textId="77777777" w:rsidR="008D039A" w:rsidRDefault="008D039A">
      <w:r>
        <w:separator/>
      </w:r>
    </w:p>
  </w:footnote>
  <w:footnote w:type="continuationSeparator" w:id="0">
    <w:p w14:paraId="61C4A6FC" w14:textId="77777777" w:rsidR="008D039A" w:rsidRDefault="008D039A">
      <w:r>
        <w:continuationSeparator/>
      </w:r>
    </w:p>
  </w:footnote>
  <w:footnote w:id="1">
    <w:p w14:paraId="5047BC02" w14:textId="320F6E2B" w:rsidR="007F46C1" w:rsidRPr="008527A3" w:rsidRDefault="007F46C1" w:rsidP="007F46C1">
      <w:pPr>
        <w:pStyle w:val="FootnoteText"/>
        <w:rPr>
          <w:rFonts w:ascii="Seaford" w:hAnsi="Seaford"/>
          <w:sz w:val="18"/>
          <w:szCs w:val="18"/>
        </w:rPr>
      </w:pPr>
      <w:r w:rsidRPr="008527A3">
        <w:rPr>
          <w:rStyle w:val="FootnoteReference"/>
          <w:rFonts w:ascii="Seaford" w:hAnsi="Seaford"/>
          <w:sz w:val="18"/>
          <w:szCs w:val="18"/>
        </w:rPr>
        <w:footnoteRef/>
      </w:r>
      <w:r w:rsidRPr="008527A3">
        <w:rPr>
          <w:rFonts w:ascii="Seaford" w:hAnsi="Seaford"/>
          <w:sz w:val="18"/>
          <w:szCs w:val="18"/>
        </w:rPr>
        <w:t xml:space="preserve"> CHA analysis of Medicare home health agency cost reports</w:t>
      </w:r>
    </w:p>
  </w:footnote>
  <w:footnote w:id="2">
    <w:p w14:paraId="6B047B41" w14:textId="77777777" w:rsidR="007F46C1" w:rsidRPr="00FF789A" w:rsidRDefault="007F46C1" w:rsidP="007F46C1">
      <w:pPr>
        <w:pStyle w:val="FootnoteText"/>
        <w:rPr>
          <w:rFonts w:ascii="Seaford" w:hAnsi="Seaford"/>
        </w:rPr>
      </w:pPr>
      <w:r w:rsidRPr="008527A3">
        <w:rPr>
          <w:rStyle w:val="FootnoteReference"/>
          <w:rFonts w:ascii="Seaford" w:hAnsi="Seaford"/>
          <w:sz w:val="18"/>
          <w:szCs w:val="18"/>
        </w:rPr>
        <w:footnoteRef/>
      </w:r>
      <w:r w:rsidRPr="008527A3">
        <w:rPr>
          <w:rFonts w:ascii="Seaford" w:hAnsi="Seaford"/>
          <w:sz w:val="18"/>
          <w:szCs w:val="18"/>
        </w:rPr>
        <w:t xml:space="preserve"> </w:t>
      </w:r>
      <w:hyperlink r:id="rId1" w:history="1">
        <w:r w:rsidRPr="008527A3">
          <w:rPr>
            <w:rStyle w:val="Hyperlink"/>
            <w:rFonts w:ascii="Seaford" w:hAnsi="Seaford"/>
            <w:sz w:val="18"/>
            <w:szCs w:val="18"/>
          </w:rPr>
          <w:t>https://www.npr.org/2022/02/10/1079260860/january-inflation-consumer-prices-cpi-economy-federal-reserve</w:t>
        </w:r>
      </w:hyperlink>
      <w:r w:rsidRPr="00FF789A">
        <w:rPr>
          <w:rFonts w:ascii="Seaford" w:hAnsi="Seaford"/>
        </w:rPr>
        <w:t xml:space="preserve"> </w:t>
      </w:r>
    </w:p>
  </w:footnote>
  <w:footnote w:id="3">
    <w:p w14:paraId="04DE8D38" w14:textId="6B0DECC9" w:rsidR="00370AFF" w:rsidRDefault="007F46C1" w:rsidP="007F46C1">
      <w:pPr>
        <w:pStyle w:val="FootnoteText"/>
        <w:rPr>
          <w:rFonts w:ascii="Seaford" w:hAnsi="Seaford"/>
          <w:sz w:val="18"/>
          <w:szCs w:val="18"/>
        </w:rPr>
      </w:pPr>
      <w:r w:rsidRPr="008527A3">
        <w:rPr>
          <w:rStyle w:val="FootnoteReference"/>
          <w:rFonts w:ascii="Seaford" w:hAnsi="Seaford"/>
          <w:sz w:val="18"/>
          <w:szCs w:val="18"/>
        </w:rPr>
        <w:footnoteRef/>
      </w:r>
      <w:r w:rsidRPr="008527A3">
        <w:rPr>
          <w:rFonts w:ascii="Seaford" w:hAnsi="Seaford"/>
          <w:sz w:val="18"/>
          <w:szCs w:val="18"/>
        </w:rPr>
        <w:t xml:space="preserve"> </w:t>
      </w:r>
      <w:hyperlink r:id="rId2" w:history="1">
        <w:r w:rsidR="00370FFC" w:rsidRPr="008527A3">
          <w:rPr>
            <w:rStyle w:val="Hyperlink"/>
            <w:sz w:val="18"/>
            <w:szCs w:val="18"/>
          </w:rPr>
          <w:t>http://pqhh.org/wp-content/uploads/2022/06/DDA-PPT-PDGM-Budget-Neutrality-Assessment-using-SNF-Methodology-_Final-Read-Only6-Read-Only.pdf</w:t>
        </w:r>
      </w:hyperlink>
    </w:p>
    <w:p w14:paraId="5F6E1B4D" w14:textId="77777777" w:rsidR="00370FFC" w:rsidRPr="008527A3" w:rsidRDefault="00370FFC" w:rsidP="007F46C1">
      <w:pPr>
        <w:pStyle w:val="FootnoteText"/>
        <w:rPr>
          <w:rFonts w:ascii="Seaford" w:hAnsi="Seaford"/>
          <w:sz w:val="18"/>
          <w:szCs w:val="18"/>
        </w:rPr>
      </w:pPr>
    </w:p>
  </w:footnote>
  <w:footnote w:id="4">
    <w:p w14:paraId="6BFE8930" w14:textId="77777777" w:rsidR="007F46C1" w:rsidRPr="009F4681" w:rsidRDefault="007F46C1" w:rsidP="007F46C1">
      <w:pPr>
        <w:autoSpaceDE w:val="0"/>
        <w:autoSpaceDN w:val="0"/>
        <w:adjustRightInd w:val="0"/>
        <w:rPr>
          <w:rFonts w:ascii="Seaford" w:eastAsiaTheme="minorHAnsi" w:hAnsi="Seaford" w:cs="ArialMT"/>
          <w:color w:val="1F497D"/>
          <w:szCs w:val="22"/>
          <w14:ligatures w14:val="standardContextual"/>
        </w:rPr>
      </w:pPr>
      <w:r w:rsidRPr="008527A3">
        <w:rPr>
          <w:rStyle w:val="FootnoteReference"/>
          <w:rFonts w:ascii="Seaford" w:hAnsi="Seaford"/>
          <w:sz w:val="18"/>
          <w:szCs w:val="18"/>
        </w:rPr>
        <w:footnoteRef/>
      </w:r>
      <w:r w:rsidRPr="008527A3">
        <w:rPr>
          <w:rFonts w:ascii="Seaford" w:hAnsi="Seaford"/>
          <w:sz w:val="18"/>
          <w:szCs w:val="18"/>
        </w:rPr>
        <w:t xml:space="preserve"> </w:t>
      </w:r>
      <w:r w:rsidRPr="008527A3">
        <w:rPr>
          <w:rFonts w:ascii="Seaford" w:eastAsiaTheme="minorHAnsi" w:hAnsi="Seaford" w:cs="ArialMT"/>
          <w:color w:val="000000"/>
          <w:sz w:val="18"/>
          <w:szCs w:val="18"/>
          <w14:ligatures w14:val="standardContextual"/>
        </w:rPr>
        <w:t xml:space="preserve">CY 2023 SNF PPS Proposed Rule, 87 FR </w:t>
      </w:r>
      <w:proofErr w:type="gramStart"/>
      <w:r w:rsidRPr="008527A3">
        <w:rPr>
          <w:rFonts w:ascii="Seaford" w:eastAsiaTheme="minorHAnsi" w:hAnsi="Seaford" w:cs="ArialMT"/>
          <w:color w:val="000000"/>
          <w:sz w:val="18"/>
          <w:szCs w:val="18"/>
          <w14:ligatures w14:val="standardContextual"/>
        </w:rPr>
        <w:t>22720;</w:t>
      </w:r>
      <w:proofErr w:type="gramEnd"/>
      <w:r w:rsidRPr="008527A3">
        <w:rPr>
          <w:rFonts w:ascii="Seaford" w:eastAsiaTheme="minorHAnsi" w:hAnsi="Seaford" w:cs="ArialMT"/>
          <w:color w:val="000000"/>
          <w:sz w:val="18"/>
          <w:szCs w:val="18"/>
          <w14:ligatures w14:val="standardContextual"/>
        </w:rPr>
        <w:t xml:space="preserve"> </w:t>
      </w:r>
      <w:hyperlink r:id="rId3" w:history="1">
        <w:r w:rsidRPr="008527A3">
          <w:rPr>
            <w:rStyle w:val="Hyperlink"/>
            <w:rFonts w:ascii="Seaford" w:eastAsiaTheme="minorHAnsi" w:hAnsi="Seaford" w:cs="ArialMT"/>
            <w:sz w:val="18"/>
            <w:szCs w:val="18"/>
            <w14:ligatures w14:val="standardContextual"/>
          </w:rPr>
          <w:t>https://www.federalregister.gov/d/2022-07906/p-193</w:t>
        </w:r>
      </w:hyperlink>
      <w:r w:rsidRPr="009F4681">
        <w:rPr>
          <w:rFonts w:ascii="Seaford" w:eastAsiaTheme="minorHAnsi" w:hAnsi="Seaford" w:cs="ArialMT"/>
          <w:color w:val="1F497D"/>
          <w:sz w:val="16"/>
          <w:szCs w:val="16"/>
          <w14:ligatures w14:val="standardContextu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1671" w14:textId="4F1D4CE4" w:rsidR="00BB03F3" w:rsidRDefault="00476D9E">
    <w:pPr>
      <w:pStyle w:val="Header"/>
      <w:framePr w:wrap="around" w:vAnchor="text" w:hAnchor="margin" w:xAlign="right" w:y="1"/>
      <w:rPr>
        <w:rStyle w:val="PageNumber"/>
      </w:rPr>
    </w:pPr>
    <w:r>
      <w:rPr>
        <w:noProof/>
      </w:rPr>
      <w:pict w14:anchorId="42D06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14329" o:spid="_x0000_s1029"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Seaford&quot;;font-size:1pt" string="DRAFT"/>
        </v:shape>
      </w:pict>
    </w:r>
    <w:r w:rsidR="00BB03F3">
      <w:rPr>
        <w:rStyle w:val="PageNumber"/>
      </w:rPr>
      <w:fldChar w:fldCharType="begin"/>
    </w:r>
    <w:r w:rsidR="00BB03F3">
      <w:rPr>
        <w:rStyle w:val="PageNumber"/>
      </w:rPr>
      <w:instrText xml:space="preserve">PAGE  </w:instrText>
    </w:r>
    <w:r w:rsidR="00BB03F3">
      <w:rPr>
        <w:rStyle w:val="PageNumber"/>
      </w:rPr>
      <w:fldChar w:fldCharType="separate"/>
    </w:r>
    <w:r w:rsidR="007D4A54">
      <w:rPr>
        <w:rStyle w:val="PageNumber"/>
        <w:noProof/>
      </w:rPr>
      <w:t>2</w:t>
    </w:r>
    <w:r w:rsidR="00BB03F3">
      <w:rPr>
        <w:rStyle w:val="PageNumber"/>
      </w:rPr>
      <w:fldChar w:fldCharType="end"/>
    </w:r>
  </w:p>
  <w:p w14:paraId="237CC744" w14:textId="77777777" w:rsidR="00BB03F3" w:rsidRDefault="00BB03F3">
    <w:pPr>
      <w:ind w:right="360"/>
    </w:pPr>
    <w:r>
      <w:t>Addressee</w:t>
    </w:r>
    <w:r>
      <w:tab/>
    </w:r>
    <w:r>
      <w:tab/>
    </w:r>
    <w:r>
      <w:tab/>
    </w:r>
    <w:r>
      <w:tab/>
    </w:r>
    <w:r>
      <w:tab/>
    </w:r>
    <w:r>
      <w:tab/>
    </w:r>
    <w:r>
      <w:tab/>
    </w:r>
    <w:r>
      <w:tab/>
    </w:r>
    <w:r>
      <w:tab/>
    </w:r>
    <w:r>
      <w:tab/>
    </w:r>
    <w:r>
      <w:tab/>
      <w:t>Page 2</w:t>
    </w:r>
  </w:p>
  <w:p w14:paraId="04F549DB" w14:textId="77777777" w:rsidR="00BB03F3" w:rsidRDefault="00BB03F3">
    <w:pPr>
      <w:pStyle w:val="Header"/>
    </w:pPr>
    <w:r>
      <w:t>Date</w:t>
    </w:r>
  </w:p>
  <w:p w14:paraId="511F1B58" w14:textId="77777777" w:rsidR="00BB03F3" w:rsidRDefault="00000000">
    <w:pPr>
      <w:pStyle w:val="Header"/>
    </w:pPr>
    <w:r>
      <w:rPr>
        <w:noProof/>
      </w:rPr>
      <w:pict w14:anchorId="78A654DA">
        <v:rect id="_x0000_i1025" alt="" style="width:468pt;height:.05pt;mso-width-percent:0;mso-height-percent:0;mso-width-percent:0;mso-height-percent:0" o:hralign="center" o:hrstd="t" o:hr="t" fillcolor="gray" stroked="f"/>
      </w:pict>
    </w:r>
  </w:p>
  <w:p w14:paraId="3168CF11" w14:textId="77777777" w:rsidR="004A3B02" w:rsidRDefault="004A3B02"/>
  <w:p w14:paraId="1CDC9FB0" w14:textId="77777777" w:rsidR="004A3B02" w:rsidRDefault="004A3B02"/>
  <w:p w14:paraId="56E6D49D" w14:textId="77777777" w:rsidR="004A3B02" w:rsidRDefault="004A3B02"/>
  <w:p w14:paraId="70777548"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CDD6" w14:textId="216BD850" w:rsidR="00107DFC" w:rsidRDefault="00476D9E">
    <w:pPr>
      <w:pStyle w:val="Header"/>
      <w:jc w:val="right"/>
    </w:pPr>
    <w:r>
      <w:rPr>
        <w:noProof/>
      </w:rPr>
      <w:pict w14:anchorId="00ED0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14330" o:spid="_x0000_s1030" type="#_x0000_t136" style="position:absolute;left:0;text-align:left;margin-left:0;margin-top:0;width:444.15pt;height:266.45pt;rotation:315;z-index:-251653120;mso-position-horizontal:center;mso-position-horizontal-relative:margin;mso-position-vertical:center;mso-position-vertical-relative:margin" o:allowincell="f" fillcolor="silver" stroked="f">
          <v:fill opacity=".5"/>
          <v:textpath style="font-family:&quot;Seaford&quot;;font-size:1pt" string="DRAFT"/>
        </v:shape>
      </w:pict>
    </w:r>
  </w:p>
  <w:p w14:paraId="31838181" w14:textId="019E72AA" w:rsidR="00107DFC" w:rsidRPr="00BB0CA3" w:rsidRDefault="00E05A7E" w:rsidP="00E05A7E">
    <w:pPr>
      <w:pStyle w:val="Header"/>
      <w:tabs>
        <w:tab w:val="right" w:pos="9720"/>
      </w:tabs>
      <w:ind w:right="360"/>
      <w:rPr>
        <w:rFonts w:ascii="Seaford" w:hAnsi="Seaford" w:cstheme="minorHAnsi"/>
        <w:sz w:val="22"/>
        <w:szCs w:val="22"/>
      </w:rPr>
    </w:pPr>
    <w:r w:rsidRPr="00BB0CA3">
      <w:rPr>
        <w:rFonts w:ascii="Seaford" w:hAnsi="Seaford" w:cstheme="minorHAnsi"/>
        <w:sz w:val="22"/>
        <w:szCs w:val="22"/>
      </w:rPr>
      <w:t>CMS Administrator Chiquita Brooks-LaSure</w:t>
    </w:r>
    <w:r w:rsidRPr="00BB0CA3">
      <w:rPr>
        <w:rFonts w:ascii="Seaford" w:hAnsi="Seaford" w:cstheme="minorHAnsi"/>
        <w:sz w:val="22"/>
        <w:szCs w:val="22"/>
      </w:rPr>
      <w:tab/>
    </w:r>
    <w:r w:rsidR="00107DFC" w:rsidRPr="00BB0CA3">
      <w:rPr>
        <w:rFonts w:ascii="Seaford" w:hAnsi="Seaford" w:cstheme="minorHAnsi"/>
        <w:sz w:val="22"/>
        <w:szCs w:val="22"/>
      </w:rPr>
      <w:tab/>
    </w:r>
    <w:r w:rsidR="00107DFC" w:rsidRPr="00BB0CA3">
      <w:rPr>
        <w:rFonts w:ascii="Seaford" w:hAnsi="Seaford" w:cstheme="minorHAnsi"/>
        <w:sz w:val="22"/>
        <w:szCs w:val="22"/>
      </w:rPr>
      <w:tab/>
    </w:r>
    <w:r w:rsidRPr="00BB0CA3">
      <w:rPr>
        <w:rFonts w:ascii="Seaford" w:hAnsi="Seaford" w:cstheme="minorHAnsi"/>
        <w:sz w:val="22"/>
        <w:szCs w:val="22"/>
      </w:rPr>
      <w:t xml:space="preserve">    </w:t>
    </w:r>
    <w:r w:rsidR="00107DFC" w:rsidRPr="00BB0CA3">
      <w:rPr>
        <w:rFonts w:ascii="Seaford" w:hAnsi="Seaford"/>
        <w:sz w:val="22"/>
        <w:szCs w:val="22"/>
      </w:rPr>
      <w:t xml:space="preserve">Page </w:t>
    </w:r>
    <w:sdt>
      <w:sdtPr>
        <w:rPr>
          <w:rFonts w:ascii="Seaford" w:hAnsi="Seaford"/>
          <w:sz w:val="22"/>
          <w:szCs w:val="22"/>
        </w:rPr>
        <w:id w:val="-2061695543"/>
        <w:docPartObj>
          <w:docPartGallery w:val="Page Numbers (Top of Page)"/>
          <w:docPartUnique/>
        </w:docPartObj>
      </w:sdtPr>
      <w:sdtEndPr>
        <w:rPr>
          <w:noProof/>
        </w:rPr>
      </w:sdtEndPr>
      <w:sdtContent>
        <w:r w:rsidR="00107DFC" w:rsidRPr="00BB0CA3">
          <w:rPr>
            <w:rFonts w:ascii="Seaford" w:hAnsi="Seaford"/>
            <w:sz w:val="22"/>
            <w:szCs w:val="22"/>
          </w:rPr>
          <w:fldChar w:fldCharType="begin"/>
        </w:r>
        <w:r w:rsidR="00107DFC" w:rsidRPr="00BB0CA3">
          <w:rPr>
            <w:rFonts w:ascii="Seaford" w:hAnsi="Seaford"/>
            <w:sz w:val="22"/>
            <w:szCs w:val="22"/>
          </w:rPr>
          <w:instrText xml:space="preserve"> PAGE   \* MERGEFORMAT </w:instrText>
        </w:r>
        <w:r w:rsidR="00107DFC" w:rsidRPr="00BB0CA3">
          <w:rPr>
            <w:rFonts w:ascii="Seaford" w:hAnsi="Seaford"/>
            <w:sz w:val="22"/>
            <w:szCs w:val="22"/>
          </w:rPr>
          <w:fldChar w:fldCharType="separate"/>
        </w:r>
        <w:r w:rsidR="00107DFC" w:rsidRPr="00BB0CA3">
          <w:rPr>
            <w:rFonts w:ascii="Seaford" w:hAnsi="Seaford"/>
            <w:sz w:val="22"/>
            <w:szCs w:val="22"/>
          </w:rPr>
          <w:t>3</w:t>
        </w:r>
        <w:r w:rsidR="00107DFC" w:rsidRPr="00BB0CA3">
          <w:rPr>
            <w:rFonts w:ascii="Seaford" w:hAnsi="Seaford"/>
            <w:noProof/>
            <w:sz w:val="22"/>
            <w:szCs w:val="22"/>
          </w:rPr>
          <w:fldChar w:fldCharType="end"/>
        </w:r>
      </w:sdtContent>
    </w:sdt>
  </w:p>
  <w:p w14:paraId="1D0C0795" w14:textId="37DFC9C8" w:rsidR="00107DFC" w:rsidRPr="00BB0CA3" w:rsidRDefault="00107DFC" w:rsidP="00107DFC">
    <w:pPr>
      <w:pStyle w:val="Header"/>
      <w:rPr>
        <w:rFonts w:ascii="Seaford" w:hAnsi="Seaford" w:cstheme="minorHAnsi"/>
        <w:sz w:val="22"/>
        <w:szCs w:val="22"/>
      </w:rPr>
    </w:pPr>
    <w:r w:rsidRPr="00BB0CA3">
      <w:rPr>
        <w:rFonts w:ascii="Seaford" w:hAnsi="Seaford" w:cstheme="minorHAnsi"/>
        <w:sz w:val="22"/>
        <w:szCs w:val="22"/>
      </w:rPr>
      <w:t xml:space="preserve">August </w:t>
    </w:r>
    <w:r w:rsidR="0027447B">
      <w:rPr>
        <w:rFonts w:ascii="Seaford" w:hAnsi="Seaford" w:cstheme="minorHAnsi"/>
        <w:sz w:val="22"/>
        <w:szCs w:val="22"/>
      </w:rPr>
      <w:t xml:space="preserve">16, 2022 </w:t>
    </w:r>
  </w:p>
  <w:p w14:paraId="4AD1BF4F" w14:textId="219B5E0A" w:rsidR="00107DFC" w:rsidRPr="00107DFC" w:rsidRDefault="00000000" w:rsidP="00107DFC">
    <w:pPr>
      <w:pStyle w:val="Header"/>
      <w:rPr>
        <w:b/>
      </w:rPr>
    </w:pPr>
    <w:r>
      <w:rPr>
        <w:rFonts w:cstheme="minorHAnsi"/>
        <w:noProof/>
      </w:rPr>
      <w:pict w14:anchorId="538F0A1B">
        <v:rect id="_x0000_i1026" alt="" style="width:468pt;height:.05pt;mso-width-percent:0;mso-height-percent:0;mso-width-percent:0;mso-height-percent:0" o:hralign="center" o:hrstd="t" o:hr="t" fillcolor="#aca899" stroked="f"/>
      </w:pict>
    </w:r>
    <w:r w:rsidR="00107DFC">
      <w:tab/>
    </w:r>
    <w:r w:rsidR="00107DFC">
      <w:tab/>
    </w:r>
  </w:p>
  <w:p w14:paraId="005D3DC4" w14:textId="77777777" w:rsidR="00107DFC" w:rsidRPr="00107DFC" w:rsidRDefault="00107DFC">
    <w:pPr>
      <w:pStyle w:val="Header"/>
      <w:rPr>
        <w:rFonts w:ascii="Seaford" w:hAnsi="Seafor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6519" w14:textId="06CEF48A" w:rsidR="00BB03F3" w:rsidRPr="002334E2" w:rsidRDefault="00476D9E" w:rsidP="00CB6CDA">
    <w:pPr>
      <w:pStyle w:val="Header"/>
      <w:spacing w:after="720"/>
      <w:jc w:val="both"/>
      <w:rPr>
        <w:b/>
      </w:rPr>
    </w:pPr>
    <w:r>
      <w:rPr>
        <w:noProof/>
      </w:rPr>
      <w:pict w14:anchorId="02DD8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14328" o:spid="_x0000_s1028" type="#_x0000_t136" style="position:absolute;left:0;text-align:left;margin-left:0;margin-top:0;width:444.15pt;height:266.45pt;rotation:315;z-index:-251657216;mso-position-horizontal:center;mso-position-horizontal-relative:margin;mso-position-vertical:center;mso-position-vertical-relative:margin" o:allowincell="f" fillcolor="silver" stroked="f">
          <v:fill opacity=".5"/>
          <v:textpath style="font-family:&quot;Seaford&quot;;font-size:1pt" string="DRAFT"/>
        </v:shape>
      </w:pict>
    </w:r>
    <w:r w:rsidR="003F7BE3">
      <w:rPr>
        <w:b/>
        <w:noProof/>
      </w:rPr>
      <w:drawing>
        <wp:inline distT="0" distB="0" distL="0" distR="0" wp14:anchorId="2D010BC0" wp14:editId="1C2C7CF3">
          <wp:extent cx="6400800" cy="142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142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F3"/>
    <w:multiLevelType w:val="hybridMultilevel"/>
    <w:tmpl w:val="77744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712B4"/>
    <w:multiLevelType w:val="hybridMultilevel"/>
    <w:tmpl w:val="6F42C0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7296702"/>
    <w:multiLevelType w:val="hybridMultilevel"/>
    <w:tmpl w:val="131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25B8"/>
    <w:multiLevelType w:val="hybridMultilevel"/>
    <w:tmpl w:val="5A2839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F864462"/>
    <w:multiLevelType w:val="hybridMultilevel"/>
    <w:tmpl w:val="E43A4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1CD8"/>
    <w:multiLevelType w:val="hybridMultilevel"/>
    <w:tmpl w:val="6DBE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7C4A"/>
    <w:multiLevelType w:val="hybridMultilevel"/>
    <w:tmpl w:val="EAE27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C5"/>
    <w:multiLevelType w:val="hybridMultilevel"/>
    <w:tmpl w:val="360A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41735"/>
    <w:multiLevelType w:val="hybridMultilevel"/>
    <w:tmpl w:val="EE0CD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C1EAD"/>
    <w:multiLevelType w:val="hybridMultilevel"/>
    <w:tmpl w:val="2164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506B7"/>
    <w:multiLevelType w:val="hybridMultilevel"/>
    <w:tmpl w:val="71EAA3B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21463F0E"/>
    <w:multiLevelType w:val="hybridMultilevel"/>
    <w:tmpl w:val="74B24A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2747004A"/>
    <w:multiLevelType w:val="hybridMultilevel"/>
    <w:tmpl w:val="B2E0ADFA"/>
    <w:lvl w:ilvl="0" w:tplc="4CA4986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143B"/>
    <w:multiLevelType w:val="hybridMultilevel"/>
    <w:tmpl w:val="7DD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E6340"/>
    <w:multiLevelType w:val="hybridMultilevel"/>
    <w:tmpl w:val="6F7A0988"/>
    <w:lvl w:ilvl="0" w:tplc="1D92DB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9688D"/>
    <w:multiLevelType w:val="hybridMultilevel"/>
    <w:tmpl w:val="8E4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60B"/>
    <w:multiLevelType w:val="hybridMultilevel"/>
    <w:tmpl w:val="BC4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B002C"/>
    <w:multiLevelType w:val="hybridMultilevel"/>
    <w:tmpl w:val="AC42EB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4C64917"/>
    <w:multiLevelType w:val="hybridMultilevel"/>
    <w:tmpl w:val="6194E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92749F9"/>
    <w:multiLevelType w:val="hybridMultilevel"/>
    <w:tmpl w:val="47E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C663E"/>
    <w:multiLevelType w:val="hybridMultilevel"/>
    <w:tmpl w:val="468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077CF"/>
    <w:multiLevelType w:val="hybridMultilevel"/>
    <w:tmpl w:val="43E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80238"/>
    <w:multiLevelType w:val="hybridMultilevel"/>
    <w:tmpl w:val="E43A4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7C85"/>
    <w:multiLevelType w:val="hybridMultilevel"/>
    <w:tmpl w:val="9F143A4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258610322">
    <w:abstractNumId w:val="8"/>
  </w:num>
  <w:num w:numId="2" w16cid:durableId="312149689">
    <w:abstractNumId w:val="14"/>
  </w:num>
  <w:num w:numId="3" w16cid:durableId="514268848">
    <w:abstractNumId w:val="15"/>
  </w:num>
  <w:num w:numId="4" w16cid:durableId="1210267622">
    <w:abstractNumId w:val="9"/>
  </w:num>
  <w:num w:numId="5" w16cid:durableId="525093964">
    <w:abstractNumId w:val="5"/>
  </w:num>
  <w:num w:numId="6" w16cid:durableId="798962099">
    <w:abstractNumId w:val="21"/>
  </w:num>
  <w:num w:numId="7" w16cid:durableId="179593025">
    <w:abstractNumId w:val="11"/>
  </w:num>
  <w:num w:numId="8" w16cid:durableId="896433872">
    <w:abstractNumId w:val="25"/>
  </w:num>
  <w:num w:numId="9" w16cid:durableId="1845899725">
    <w:abstractNumId w:val="2"/>
  </w:num>
  <w:num w:numId="10" w16cid:durableId="1673143636">
    <w:abstractNumId w:val="4"/>
  </w:num>
  <w:num w:numId="11" w16cid:durableId="1126049558">
    <w:abstractNumId w:val="23"/>
  </w:num>
  <w:num w:numId="12" w16cid:durableId="573855089">
    <w:abstractNumId w:val="24"/>
  </w:num>
  <w:num w:numId="13" w16cid:durableId="183055983">
    <w:abstractNumId w:val="6"/>
  </w:num>
  <w:num w:numId="14" w16cid:durableId="1903907298">
    <w:abstractNumId w:val="0"/>
  </w:num>
  <w:num w:numId="15" w16cid:durableId="706878868">
    <w:abstractNumId w:val="7"/>
  </w:num>
  <w:num w:numId="16" w16cid:durableId="1430586913">
    <w:abstractNumId w:val="17"/>
  </w:num>
  <w:num w:numId="17" w16cid:durableId="685403080">
    <w:abstractNumId w:val="13"/>
  </w:num>
  <w:num w:numId="18" w16cid:durableId="429395366">
    <w:abstractNumId w:val="12"/>
  </w:num>
  <w:num w:numId="19" w16cid:durableId="591201962">
    <w:abstractNumId w:val="26"/>
  </w:num>
  <w:num w:numId="20" w16cid:durableId="684942298">
    <w:abstractNumId w:val="16"/>
  </w:num>
  <w:num w:numId="21" w16cid:durableId="452788740">
    <w:abstractNumId w:val="19"/>
  </w:num>
  <w:num w:numId="22" w16cid:durableId="1522014046">
    <w:abstractNumId w:val="22"/>
  </w:num>
  <w:num w:numId="23" w16cid:durableId="1483237490">
    <w:abstractNumId w:val="10"/>
  </w:num>
  <w:num w:numId="24" w16cid:durableId="568928677">
    <w:abstractNumId w:val="20"/>
  </w:num>
  <w:num w:numId="25" w16cid:durableId="1387411430">
    <w:abstractNumId w:val="18"/>
  </w:num>
  <w:num w:numId="26" w16cid:durableId="1070469023">
    <w:abstractNumId w:val="3"/>
  </w:num>
  <w:num w:numId="27" w16cid:durableId="135280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BE"/>
    <w:rsid w:val="000044C8"/>
    <w:rsid w:val="00012934"/>
    <w:rsid w:val="00023786"/>
    <w:rsid w:val="00025A8A"/>
    <w:rsid w:val="000353C4"/>
    <w:rsid w:val="00036CCA"/>
    <w:rsid w:val="00040412"/>
    <w:rsid w:val="00057506"/>
    <w:rsid w:val="00071E8A"/>
    <w:rsid w:val="000768CD"/>
    <w:rsid w:val="000776CA"/>
    <w:rsid w:val="00082F87"/>
    <w:rsid w:val="00083286"/>
    <w:rsid w:val="00083733"/>
    <w:rsid w:val="0008779D"/>
    <w:rsid w:val="00096368"/>
    <w:rsid w:val="00096D69"/>
    <w:rsid w:val="000A67FC"/>
    <w:rsid w:val="000A6EBA"/>
    <w:rsid w:val="000B6C9A"/>
    <w:rsid w:val="000B6DFF"/>
    <w:rsid w:val="000E1F3C"/>
    <w:rsid w:val="000E5396"/>
    <w:rsid w:val="000E7C0B"/>
    <w:rsid w:val="000F2C97"/>
    <w:rsid w:val="000F31A0"/>
    <w:rsid w:val="001014C4"/>
    <w:rsid w:val="00101AA1"/>
    <w:rsid w:val="00107DFC"/>
    <w:rsid w:val="0011352B"/>
    <w:rsid w:val="00116E21"/>
    <w:rsid w:val="00123567"/>
    <w:rsid w:val="00130B0D"/>
    <w:rsid w:val="001404A6"/>
    <w:rsid w:val="00146502"/>
    <w:rsid w:val="00153B87"/>
    <w:rsid w:val="00154576"/>
    <w:rsid w:val="00155815"/>
    <w:rsid w:val="00160E79"/>
    <w:rsid w:val="0016136B"/>
    <w:rsid w:val="00171EE9"/>
    <w:rsid w:val="00174B50"/>
    <w:rsid w:val="00183606"/>
    <w:rsid w:val="00184232"/>
    <w:rsid w:val="00196269"/>
    <w:rsid w:val="001A1A65"/>
    <w:rsid w:val="001B133B"/>
    <w:rsid w:val="001C251E"/>
    <w:rsid w:val="001C3AB0"/>
    <w:rsid w:val="001C60B4"/>
    <w:rsid w:val="001D00D4"/>
    <w:rsid w:val="001D26C5"/>
    <w:rsid w:val="001E55B4"/>
    <w:rsid w:val="00204761"/>
    <w:rsid w:val="00210B1F"/>
    <w:rsid w:val="002215D3"/>
    <w:rsid w:val="00221870"/>
    <w:rsid w:val="002334E2"/>
    <w:rsid w:val="00236BC1"/>
    <w:rsid w:val="00240EB4"/>
    <w:rsid w:val="00241162"/>
    <w:rsid w:val="00241FDF"/>
    <w:rsid w:val="00243D64"/>
    <w:rsid w:val="00253A00"/>
    <w:rsid w:val="002550F7"/>
    <w:rsid w:val="0025547F"/>
    <w:rsid w:val="0026030F"/>
    <w:rsid w:val="002735ED"/>
    <w:rsid w:val="0027447B"/>
    <w:rsid w:val="00277542"/>
    <w:rsid w:val="002926E7"/>
    <w:rsid w:val="002943A3"/>
    <w:rsid w:val="002959FB"/>
    <w:rsid w:val="002A4354"/>
    <w:rsid w:val="002A5731"/>
    <w:rsid w:val="002B3510"/>
    <w:rsid w:val="002C0048"/>
    <w:rsid w:val="002C0812"/>
    <w:rsid w:val="002C4E87"/>
    <w:rsid w:val="002C68D2"/>
    <w:rsid w:val="002D161D"/>
    <w:rsid w:val="002D43EA"/>
    <w:rsid w:val="002D4F68"/>
    <w:rsid w:val="002E5B23"/>
    <w:rsid w:val="002E6E8F"/>
    <w:rsid w:val="002F5D27"/>
    <w:rsid w:val="00312C55"/>
    <w:rsid w:val="00316564"/>
    <w:rsid w:val="00320A22"/>
    <w:rsid w:val="00323D0C"/>
    <w:rsid w:val="0032780A"/>
    <w:rsid w:val="00331845"/>
    <w:rsid w:val="00334316"/>
    <w:rsid w:val="00342FB5"/>
    <w:rsid w:val="00343CE0"/>
    <w:rsid w:val="00344CA6"/>
    <w:rsid w:val="0034723C"/>
    <w:rsid w:val="00354A2D"/>
    <w:rsid w:val="0036198D"/>
    <w:rsid w:val="00367C88"/>
    <w:rsid w:val="00370AFF"/>
    <w:rsid w:val="00370FFC"/>
    <w:rsid w:val="00377E9B"/>
    <w:rsid w:val="00382C2C"/>
    <w:rsid w:val="003A00D3"/>
    <w:rsid w:val="003A31AE"/>
    <w:rsid w:val="003A6101"/>
    <w:rsid w:val="003A68F7"/>
    <w:rsid w:val="003A6A17"/>
    <w:rsid w:val="003C28F8"/>
    <w:rsid w:val="003D4713"/>
    <w:rsid w:val="003E2E48"/>
    <w:rsid w:val="003E3470"/>
    <w:rsid w:val="003F01DE"/>
    <w:rsid w:val="003F01E5"/>
    <w:rsid w:val="003F50A0"/>
    <w:rsid w:val="003F7BE3"/>
    <w:rsid w:val="004079BA"/>
    <w:rsid w:val="00410650"/>
    <w:rsid w:val="00414EC4"/>
    <w:rsid w:val="00415108"/>
    <w:rsid w:val="00415A9F"/>
    <w:rsid w:val="00420635"/>
    <w:rsid w:val="00425B3F"/>
    <w:rsid w:val="00427732"/>
    <w:rsid w:val="00434797"/>
    <w:rsid w:val="00434D9A"/>
    <w:rsid w:val="004447F5"/>
    <w:rsid w:val="00444877"/>
    <w:rsid w:val="00452EAF"/>
    <w:rsid w:val="00455C0C"/>
    <w:rsid w:val="00456A47"/>
    <w:rsid w:val="00457018"/>
    <w:rsid w:val="00462946"/>
    <w:rsid w:val="00466F35"/>
    <w:rsid w:val="004729C0"/>
    <w:rsid w:val="00472A81"/>
    <w:rsid w:val="00476D9E"/>
    <w:rsid w:val="00477C69"/>
    <w:rsid w:val="0048144B"/>
    <w:rsid w:val="004820D6"/>
    <w:rsid w:val="00482D60"/>
    <w:rsid w:val="0049035A"/>
    <w:rsid w:val="00497434"/>
    <w:rsid w:val="004A3B02"/>
    <w:rsid w:val="004A4CA7"/>
    <w:rsid w:val="004B0061"/>
    <w:rsid w:val="004B0C70"/>
    <w:rsid w:val="004B5C55"/>
    <w:rsid w:val="004D093E"/>
    <w:rsid w:val="004D2713"/>
    <w:rsid w:val="004F0559"/>
    <w:rsid w:val="004F7AA8"/>
    <w:rsid w:val="005021A0"/>
    <w:rsid w:val="0050344B"/>
    <w:rsid w:val="00507C19"/>
    <w:rsid w:val="00515D3D"/>
    <w:rsid w:val="00533C38"/>
    <w:rsid w:val="005413FC"/>
    <w:rsid w:val="00550BC5"/>
    <w:rsid w:val="00551866"/>
    <w:rsid w:val="00555C31"/>
    <w:rsid w:val="00555F0C"/>
    <w:rsid w:val="00562E2B"/>
    <w:rsid w:val="0056497C"/>
    <w:rsid w:val="00567D5E"/>
    <w:rsid w:val="00576882"/>
    <w:rsid w:val="00580D53"/>
    <w:rsid w:val="00591C45"/>
    <w:rsid w:val="005977A5"/>
    <w:rsid w:val="005A5225"/>
    <w:rsid w:val="005A6233"/>
    <w:rsid w:val="005A734F"/>
    <w:rsid w:val="005A73DD"/>
    <w:rsid w:val="005B2F49"/>
    <w:rsid w:val="005C79BF"/>
    <w:rsid w:val="005D14B6"/>
    <w:rsid w:val="005D1E92"/>
    <w:rsid w:val="005D7D71"/>
    <w:rsid w:val="005F1BF0"/>
    <w:rsid w:val="005F24DC"/>
    <w:rsid w:val="005F295B"/>
    <w:rsid w:val="005F3853"/>
    <w:rsid w:val="005F3DF4"/>
    <w:rsid w:val="005F7B8B"/>
    <w:rsid w:val="00601AA5"/>
    <w:rsid w:val="00603D2E"/>
    <w:rsid w:val="006312E5"/>
    <w:rsid w:val="00636FA3"/>
    <w:rsid w:val="00637285"/>
    <w:rsid w:val="0064253E"/>
    <w:rsid w:val="006677DC"/>
    <w:rsid w:val="0067203B"/>
    <w:rsid w:val="00672C57"/>
    <w:rsid w:val="006735DD"/>
    <w:rsid w:val="00674E99"/>
    <w:rsid w:val="006763C3"/>
    <w:rsid w:val="0068057D"/>
    <w:rsid w:val="0069123F"/>
    <w:rsid w:val="00693021"/>
    <w:rsid w:val="00694BC1"/>
    <w:rsid w:val="00697036"/>
    <w:rsid w:val="006A2C9C"/>
    <w:rsid w:val="006B20C3"/>
    <w:rsid w:val="006B20F2"/>
    <w:rsid w:val="006B4CD1"/>
    <w:rsid w:val="006B5F9A"/>
    <w:rsid w:val="006B7966"/>
    <w:rsid w:val="006B7DF9"/>
    <w:rsid w:val="006C09E6"/>
    <w:rsid w:val="006D0FDF"/>
    <w:rsid w:val="006E235E"/>
    <w:rsid w:val="006E36AD"/>
    <w:rsid w:val="006E60CB"/>
    <w:rsid w:val="006E62CD"/>
    <w:rsid w:val="006F1087"/>
    <w:rsid w:val="006F22D6"/>
    <w:rsid w:val="006F6C2A"/>
    <w:rsid w:val="0070369D"/>
    <w:rsid w:val="007126DA"/>
    <w:rsid w:val="00713872"/>
    <w:rsid w:val="00716A4E"/>
    <w:rsid w:val="007223D0"/>
    <w:rsid w:val="007229E2"/>
    <w:rsid w:val="0072587B"/>
    <w:rsid w:val="00731D2D"/>
    <w:rsid w:val="00741278"/>
    <w:rsid w:val="00743B1D"/>
    <w:rsid w:val="00747969"/>
    <w:rsid w:val="007543D3"/>
    <w:rsid w:val="0075701A"/>
    <w:rsid w:val="00765635"/>
    <w:rsid w:val="00766455"/>
    <w:rsid w:val="007809B4"/>
    <w:rsid w:val="00782169"/>
    <w:rsid w:val="00782D72"/>
    <w:rsid w:val="007861B7"/>
    <w:rsid w:val="007903D4"/>
    <w:rsid w:val="00791433"/>
    <w:rsid w:val="0079786E"/>
    <w:rsid w:val="007A5CA2"/>
    <w:rsid w:val="007A7B6D"/>
    <w:rsid w:val="007B4AE5"/>
    <w:rsid w:val="007B5DF1"/>
    <w:rsid w:val="007B6FF9"/>
    <w:rsid w:val="007B70BA"/>
    <w:rsid w:val="007C2F3A"/>
    <w:rsid w:val="007C46AF"/>
    <w:rsid w:val="007C59C3"/>
    <w:rsid w:val="007D4A54"/>
    <w:rsid w:val="007E27A3"/>
    <w:rsid w:val="007F46C1"/>
    <w:rsid w:val="007F49F8"/>
    <w:rsid w:val="00800F66"/>
    <w:rsid w:val="008102BC"/>
    <w:rsid w:val="00810EF5"/>
    <w:rsid w:val="00811C80"/>
    <w:rsid w:val="008122B2"/>
    <w:rsid w:val="00815173"/>
    <w:rsid w:val="00815A46"/>
    <w:rsid w:val="00822C28"/>
    <w:rsid w:val="00824877"/>
    <w:rsid w:val="00832FAE"/>
    <w:rsid w:val="0083529B"/>
    <w:rsid w:val="008404A0"/>
    <w:rsid w:val="0085009E"/>
    <w:rsid w:val="008527A3"/>
    <w:rsid w:val="008558B6"/>
    <w:rsid w:val="0086177B"/>
    <w:rsid w:val="00864240"/>
    <w:rsid w:val="0087483D"/>
    <w:rsid w:val="00886A9C"/>
    <w:rsid w:val="00892B68"/>
    <w:rsid w:val="008A052D"/>
    <w:rsid w:val="008A2068"/>
    <w:rsid w:val="008B30B8"/>
    <w:rsid w:val="008C1FD5"/>
    <w:rsid w:val="008C3EB4"/>
    <w:rsid w:val="008C7E75"/>
    <w:rsid w:val="008D039A"/>
    <w:rsid w:val="008E2673"/>
    <w:rsid w:val="008E3F0E"/>
    <w:rsid w:val="008E45A8"/>
    <w:rsid w:val="008E4951"/>
    <w:rsid w:val="008F1B29"/>
    <w:rsid w:val="008F6778"/>
    <w:rsid w:val="00901DC0"/>
    <w:rsid w:val="00913D2B"/>
    <w:rsid w:val="00914B66"/>
    <w:rsid w:val="009150C7"/>
    <w:rsid w:val="00915F5D"/>
    <w:rsid w:val="00921D58"/>
    <w:rsid w:val="009239F3"/>
    <w:rsid w:val="0092418A"/>
    <w:rsid w:val="00924FB6"/>
    <w:rsid w:val="00926F46"/>
    <w:rsid w:val="00940418"/>
    <w:rsid w:val="00944DDD"/>
    <w:rsid w:val="00950679"/>
    <w:rsid w:val="009521CC"/>
    <w:rsid w:val="00952323"/>
    <w:rsid w:val="00957F88"/>
    <w:rsid w:val="00972543"/>
    <w:rsid w:val="00972FA4"/>
    <w:rsid w:val="00973596"/>
    <w:rsid w:val="0097578E"/>
    <w:rsid w:val="0098336A"/>
    <w:rsid w:val="009852CC"/>
    <w:rsid w:val="00986CE8"/>
    <w:rsid w:val="00992364"/>
    <w:rsid w:val="00995E28"/>
    <w:rsid w:val="009B4D18"/>
    <w:rsid w:val="009B7438"/>
    <w:rsid w:val="009B7927"/>
    <w:rsid w:val="009D42D3"/>
    <w:rsid w:val="009D6EC7"/>
    <w:rsid w:val="009E272F"/>
    <w:rsid w:val="009E70FF"/>
    <w:rsid w:val="009F4681"/>
    <w:rsid w:val="009F6B62"/>
    <w:rsid w:val="00A00863"/>
    <w:rsid w:val="00A060DB"/>
    <w:rsid w:val="00A12020"/>
    <w:rsid w:val="00A12BDC"/>
    <w:rsid w:val="00A1337C"/>
    <w:rsid w:val="00A15F5E"/>
    <w:rsid w:val="00A213B6"/>
    <w:rsid w:val="00A30A8F"/>
    <w:rsid w:val="00A32929"/>
    <w:rsid w:val="00A423C7"/>
    <w:rsid w:val="00A47010"/>
    <w:rsid w:val="00A524C7"/>
    <w:rsid w:val="00A566FC"/>
    <w:rsid w:val="00A574D3"/>
    <w:rsid w:val="00A57F86"/>
    <w:rsid w:val="00A614CA"/>
    <w:rsid w:val="00A678DE"/>
    <w:rsid w:val="00A70511"/>
    <w:rsid w:val="00A74266"/>
    <w:rsid w:val="00A76CE0"/>
    <w:rsid w:val="00A85F6E"/>
    <w:rsid w:val="00A96D75"/>
    <w:rsid w:val="00AA60EB"/>
    <w:rsid w:val="00AB581E"/>
    <w:rsid w:val="00AC2638"/>
    <w:rsid w:val="00AC7160"/>
    <w:rsid w:val="00AD02FD"/>
    <w:rsid w:val="00AD1FBE"/>
    <w:rsid w:val="00AE160E"/>
    <w:rsid w:val="00AE3FB5"/>
    <w:rsid w:val="00AE53A0"/>
    <w:rsid w:val="00AF1BBE"/>
    <w:rsid w:val="00B0035A"/>
    <w:rsid w:val="00B119ED"/>
    <w:rsid w:val="00B341E6"/>
    <w:rsid w:val="00B37EB7"/>
    <w:rsid w:val="00B4523E"/>
    <w:rsid w:val="00B509B8"/>
    <w:rsid w:val="00B56868"/>
    <w:rsid w:val="00B66A51"/>
    <w:rsid w:val="00B70C78"/>
    <w:rsid w:val="00B734AC"/>
    <w:rsid w:val="00B74017"/>
    <w:rsid w:val="00B768C7"/>
    <w:rsid w:val="00B77153"/>
    <w:rsid w:val="00B81B66"/>
    <w:rsid w:val="00B82FB2"/>
    <w:rsid w:val="00B87C9B"/>
    <w:rsid w:val="00B906F2"/>
    <w:rsid w:val="00B91743"/>
    <w:rsid w:val="00BA1535"/>
    <w:rsid w:val="00BA4D94"/>
    <w:rsid w:val="00BB03F3"/>
    <w:rsid w:val="00BB0CA3"/>
    <w:rsid w:val="00BB1478"/>
    <w:rsid w:val="00BB2F2E"/>
    <w:rsid w:val="00BB3ED5"/>
    <w:rsid w:val="00BC274C"/>
    <w:rsid w:val="00BC3699"/>
    <w:rsid w:val="00BC5384"/>
    <w:rsid w:val="00BD4C40"/>
    <w:rsid w:val="00BD4FDE"/>
    <w:rsid w:val="00BE384B"/>
    <w:rsid w:val="00BE5CA3"/>
    <w:rsid w:val="00BE64DF"/>
    <w:rsid w:val="00C02C00"/>
    <w:rsid w:val="00C05946"/>
    <w:rsid w:val="00C06875"/>
    <w:rsid w:val="00C07496"/>
    <w:rsid w:val="00C07E33"/>
    <w:rsid w:val="00C14760"/>
    <w:rsid w:val="00C15CC8"/>
    <w:rsid w:val="00C254D1"/>
    <w:rsid w:val="00C25F67"/>
    <w:rsid w:val="00C30600"/>
    <w:rsid w:val="00C3082A"/>
    <w:rsid w:val="00C31BA5"/>
    <w:rsid w:val="00C326D8"/>
    <w:rsid w:val="00C36BFC"/>
    <w:rsid w:val="00C414F4"/>
    <w:rsid w:val="00C46B47"/>
    <w:rsid w:val="00C531A0"/>
    <w:rsid w:val="00C66A92"/>
    <w:rsid w:val="00C66B2A"/>
    <w:rsid w:val="00C678D5"/>
    <w:rsid w:val="00C7327E"/>
    <w:rsid w:val="00C757E5"/>
    <w:rsid w:val="00C77705"/>
    <w:rsid w:val="00C8229E"/>
    <w:rsid w:val="00C90D2E"/>
    <w:rsid w:val="00C9558B"/>
    <w:rsid w:val="00C9683C"/>
    <w:rsid w:val="00C968E5"/>
    <w:rsid w:val="00CB61F2"/>
    <w:rsid w:val="00CB6CDA"/>
    <w:rsid w:val="00CC1741"/>
    <w:rsid w:val="00CC3076"/>
    <w:rsid w:val="00CD5C95"/>
    <w:rsid w:val="00CE1797"/>
    <w:rsid w:val="00CE2481"/>
    <w:rsid w:val="00CE423B"/>
    <w:rsid w:val="00CE4C0F"/>
    <w:rsid w:val="00CE7620"/>
    <w:rsid w:val="00CF4344"/>
    <w:rsid w:val="00CF641D"/>
    <w:rsid w:val="00D007B5"/>
    <w:rsid w:val="00D07AC8"/>
    <w:rsid w:val="00D24DFE"/>
    <w:rsid w:val="00D2566F"/>
    <w:rsid w:val="00D3250F"/>
    <w:rsid w:val="00D4008D"/>
    <w:rsid w:val="00D518CF"/>
    <w:rsid w:val="00D551C4"/>
    <w:rsid w:val="00D62E67"/>
    <w:rsid w:val="00D71F2E"/>
    <w:rsid w:val="00D73DCA"/>
    <w:rsid w:val="00D749E7"/>
    <w:rsid w:val="00D74E55"/>
    <w:rsid w:val="00D75CF0"/>
    <w:rsid w:val="00D87AA7"/>
    <w:rsid w:val="00D956CD"/>
    <w:rsid w:val="00DA23B9"/>
    <w:rsid w:val="00DA26E6"/>
    <w:rsid w:val="00DA3A2C"/>
    <w:rsid w:val="00DA7F5B"/>
    <w:rsid w:val="00DB0F25"/>
    <w:rsid w:val="00DB12A8"/>
    <w:rsid w:val="00DB3467"/>
    <w:rsid w:val="00DB4E0C"/>
    <w:rsid w:val="00DB762C"/>
    <w:rsid w:val="00DC3D2F"/>
    <w:rsid w:val="00DC540E"/>
    <w:rsid w:val="00DD3C29"/>
    <w:rsid w:val="00DD5C82"/>
    <w:rsid w:val="00DE2966"/>
    <w:rsid w:val="00DE320A"/>
    <w:rsid w:val="00DF008A"/>
    <w:rsid w:val="00DF1026"/>
    <w:rsid w:val="00E05A7E"/>
    <w:rsid w:val="00E15173"/>
    <w:rsid w:val="00E15C4F"/>
    <w:rsid w:val="00E2170E"/>
    <w:rsid w:val="00E325A5"/>
    <w:rsid w:val="00E4100E"/>
    <w:rsid w:val="00E41E0D"/>
    <w:rsid w:val="00E5195A"/>
    <w:rsid w:val="00E52B17"/>
    <w:rsid w:val="00E544EF"/>
    <w:rsid w:val="00E54ACE"/>
    <w:rsid w:val="00E60A05"/>
    <w:rsid w:val="00E625D5"/>
    <w:rsid w:val="00E65EAD"/>
    <w:rsid w:val="00E71B1B"/>
    <w:rsid w:val="00E73C53"/>
    <w:rsid w:val="00E8160B"/>
    <w:rsid w:val="00E86298"/>
    <w:rsid w:val="00E966A5"/>
    <w:rsid w:val="00EA7301"/>
    <w:rsid w:val="00EA754B"/>
    <w:rsid w:val="00EB0FF1"/>
    <w:rsid w:val="00EB7353"/>
    <w:rsid w:val="00EC43F8"/>
    <w:rsid w:val="00ED1914"/>
    <w:rsid w:val="00EE12A5"/>
    <w:rsid w:val="00EE451C"/>
    <w:rsid w:val="00EE779D"/>
    <w:rsid w:val="00EF2A0D"/>
    <w:rsid w:val="00F24CD1"/>
    <w:rsid w:val="00F35E7B"/>
    <w:rsid w:val="00F36EF2"/>
    <w:rsid w:val="00F37B79"/>
    <w:rsid w:val="00F40F5D"/>
    <w:rsid w:val="00F45388"/>
    <w:rsid w:val="00F46E18"/>
    <w:rsid w:val="00F47592"/>
    <w:rsid w:val="00F63722"/>
    <w:rsid w:val="00F67C69"/>
    <w:rsid w:val="00F711B1"/>
    <w:rsid w:val="00F72476"/>
    <w:rsid w:val="00F813E8"/>
    <w:rsid w:val="00F830E2"/>
    <w:rsid w:val="00F87AAF"/>
    <w:rsid w:val="00F9796A"/>
    <w:rsid w:val="00FA0D73"/>
    <w:rsid w:val="00FA28CA"/>
    <w:rsid w:val="00FC12A1"/>
    <w:rsid w:val="00FC1AFA"/>
    <w:rsid w:val="00FC1D5C"/>
    <w:rsid w:val="00FC341D"/>
    <w:rsid w:val="00FD4849"/>
    <w:rsid w:val="00FD5E6F"/>
    <w:rsid w:val="00FE060E"/>
    <w:rsid w:val="00FE334E"/>
    <w:rsid w:val="00FE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D6CC4C"/>
  <w15:docId w15:val="{2DB07463-88C8-429D-82CA-F22E1ED0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qFormat/>
    <w:pPr>
      <w:keepNext/>
      <w:jc w:val="center"/>
      <w:outlineLvl w:val="1"/>
    </w:pPr>
    <w:rPr>
      <w:i/>
      <w:iCs/>
    </w:rPr>
  </w:style>
  <w:style w:type="paragraph" w:styleId="Heading3">
    <w:name w:val="heading 3"/>
    <w:basedOn w:val="Normal"/>
    <w:next w:val="Normal"/>
    <w:link w:val="Heading3Char"/>
    <w:uiPriority w:val="9"/>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link w:val="BodyTextChar"/>
    <w:uiPriority w:val="1"/>
    <w:qFormat/>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iPriority w:val="99"/>
    <w:unhideWhenUsed/>
    <w:rsid w:val="0016136B"/>
    <w:rPr>
      <w:color w:val="0563C1" w:themeColor="hyperlink"/>
      <w:u w:val="single"/>
    </w:rPr>
  </w:style>
  <w:style w:type="paragraph" w:customStyle="1" w:styleId="BasicParagraph">
    <w:name w:val="[Basic Paragraph]"/>
    <w:basedOn w:val="Normal"/>
    <w:uiPriority w:val="99"/>
    <w:rsid w:val="00427732"/>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efault">
    <w:name w:val="Default"/>
    <w:rsid w:val="00107DFC"/>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uiPriority w:val="9"/>
    <w:rsid w:val="00107DFC"/>
    <w:rPr>
      <w:i/>
      <w:iCs/>
      <w:sz w:val="24"/>
    </w:rPr>
  </w:style>
  <w:style w:type="character" w:customStyle="1" w:styleId="Heading3Char">
    <w:name w:val="Heading 3 Char"/>
    <w:basedOn w:val="DefaultParagraphFont"/>
    <w:link w:val="Heading3"/>
    <w:uiPriority w:val="9"/>
    <w:rsid w:val="00107DFC"/>
    <w:rPr>
      <w:b/>
      <w:bCs/>
      <w:i/>
      <w:iCs/>
      <w:sz w:val="32"/>
    </w:rPr>
  </w:style>
  <w:style w:type="character" w:customStyle="1" w:styleId="BodyTextChar">
    <w:name w:val="Body Text Char"/>
    <w:basedOn w:val="DefaultParagraphFont"/>
    <w:link w:val="BodyText"/>
    <w:uiPriority w:val="1"/>
    <w:rsid w:val="00107DFC"/>
    <w:rPr>
      <w:bCs/>
      <w:iCs/>
      <w:sz w:val="24"/>
    </w:rPr>
  </w:style>
  <w:style w:type="paragraph" w:styleId="BalloonText">
    <w:name w:val="Balloon Text"/>
    <w:basedOn w:val="Normal"/>
    <w:link w:val="BalloonTextChar"/>
    <w:uiPriority w:val="99"/>
    <w:semiHidden/>
    <w:unhideWhenUsed/>
    <w:rsid w:val="00107DF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07DFC"/>
    <w:rPr>
      <w:rFonts w:ascii="Segoe UI" w:eastAsiaTheme="minorHAnsi" w:hAnsi="Segoe UI" w:cs="Segoe UI"/>
      <w:sz w:val="18"/>
      <w:szCs w:val="18"/>
    </w:rPr>
  </w:style>
  <w:style w:type="character" w:styleId="CommentReference">
    <w:name w:val="annotation reference"/>
    <w:basedOn w:val="DefaultParagraphFont"/>
    <w:semiHidden/>
    <w:unhideWhenUsed/>
    <w:rsid w:val="00107DFC"/>
    <w:rPr>
      <w:sz w:val="16"/>
      <w:szCs w:val="16"/>
    </w:rPr>
  </w:style>
  <w:style w:type="paragraph" w:styleId="CommentText">
    <w:name w:val="annotation text"/>
    <w:basedOn w:val="Normal"/>
    <w:link w:val="CommentTextChar"/>
    <w:uiPriority w:val="99"/>
    <w:unhideWhenUsed/>
    <w:rsid w:val="00107DF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07DF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07DFC"/>
    <w:rPr>
      <w:b/>
      <w:bCs/>
    </w:rPr>
  </w:style>
  <w:style w:type="character" w:customStyle="1" w:styleId="CommentSubjectChar">
    <w:name w:val="Comment Subject Char"/>
    <w:basedOn w:val="CommentTextChar"/>
    <w:link w:val="CommentSubject"/>
    <w:uiPriority w:val="99"/>
    <w:semiHidden/>
    <w:rsid w:val="00107DFC"/>
    <w:rPr>
      <w:rFonts w:asciiTheme="minorHAnsi" w:eastAsiaTheme="minorHAnsi" w:hAnsiTheme="minorHAnsi" w:cstheme="minorBidi"/>
      <w:b/>
      <w:bCs/>
    </w:rPr>
  </w:style>
  <w:style w:type="character" w:customStyle="1" w:styleId="HeaderChar">
    <w:name w:val="Header Char"/>
    <w:basedOn w:val="DefaultParagraphFont"/>
    <w:link w:val="Header"/>
    <w:uiPriority w:val="99"/>
    <w:rsid w:val="00107DFC"/>
    <w:rPr>
      <w:sz w:val="24"/>
    </w:rPr>
  </w:style>
  <w:style w:type="character" w:customStyle="1" w:styleId="FooterChar">
    <w:name w:val="Footer Char"/>
    <w:basedOn w:val="DefaultParagraphFont"/>
    <w:link w:val="Footer"/>
    <w:rsid w:val="00107DFC"/>
    <w:rPr>
      <w:sz w:val="24"/>
    </w:rPr>
  </w:style>
  <w:style w:type="paragraph" w:styleId="Revision">
    <w:name w:val="Revision"/>
    <w:hidden/>
    <w:uiPriority w:val="99"/>
    <w:semiHidden/>
    <w:rsid w:val="00107DFC"/>
    <w:rPr>
      <w:rFonts w:asciiTheme="minorHAnsi" w:eastAsiaTheme="minorHAnsi" w:hAnsiTheme="minorHAnsi" w:cstheme="minorBidi"/>
      <w:sz w:val="22"/>
      <w:szCs w:val="22"/>
    </w:rPr>
  </w:style>
  <w:style w:type="table" w:styleId="GridTable4-Accent1">
    <w:name w:val="Grid Table 4 Accent 1"/>
    <w:basedOn w:val="TableNormal"/>
    <w:uiPriority w:val="49"/>
    <w:rsid w:val="00107DFC"/>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07DFC"/>
    <w:rPr>
      <w:color w:val="605E5C"/>
      <w:shd w:val="clear" w:color="auto" w:fill="E1DFDD"/>
    </w:rPr>
  </w:style>
  <w:style w:type="paragraph" w:styleId="NoSpacing">
    <w:name w:val="No Spacing"/>
    <w:uiPriority w:val="1"/>
    <w:qFormat/>
    <w:rsid w:val="00107DFC"/>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F46C1"/>
    <w:rPr>
      <w:rFonts w:ascii="Calibri" w:eastAsia="Calibri" w:hAnsi="Calibri"/>
      <w:sz w:val="20"/>
    </w:rPr>
  </w:style>
  <w:style w:type="character" w:customStyle="1" w:styleId="FootnoteTextChar">
    <w:name w:val="Footnote Text Char"/>
    <w:basedOn w:val="DefaultParagraphFont"/>
    <w:link w:val="FootnoteText"/>
    <w:uiPriority w:val="99"/>
    <w:rsid w:val="007F46C1"/>
    <w:rPr>
      <w:rFonts w:ascii="Calibri" w:eastAsia="Calibri" w:hAnsi="Calibri"/>
    </w:rPr>
  </w:style>
  <w:style w:type="character" w:styleId="FootnoteReference">
    <w:name w:val="footnote reference"/>
    <w:basedOn w:val="DefaultParagraphFont"/>
    <w:uiPriority w:val="99"/>
    <w:unhideWhenUsed/>
    <w:rsid w:val="007F4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BNathan\AppData\Local\Microsoft\Windows\INetCache\Content.Outlook\Q98OZ4PP\pblaisdell@calhospita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howard@calhospital.org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2022-07906/p-193" TargetMode="External"/><Relationship Id="rId2" Type="http://schemas.openxmlformats.org/officeDocument/2006/relationships/hyperlink" Target="http://pqhh.org/wp-content/uploads/2022/06/DDA-PPT-PDGM-Budget-Neutrality-Assessment-using-SNF-Methodology-_Final-Read-Only6-Read-Only.pdf" TargetMode="External"/><Relationship Id="rId1" Type="http://schemas.openxmlformats.org/officeDocument/2006/relationships/hyperlink" Target="https://www.npr.org/2022/02/10/1079260860/january-inflation-consumer-prices-cpi-economy-federal-reser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SharedWithUsers xmlns="eec1121c-cda9-4836-be94-b3e836ec7879">
      <UserInfo>
        <DisplayName>Julie Reppas</DisplayName>
        <AccountId>232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customXml/itemProps2.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3.xml><?xml version="1.0" encoding="utf-8"?>
<ds:datastoreItem xmlns:ds="http://schemas.openxmlformats.org/officeDocument/2006/customXml" ds:itemID="{5D277CFD-082E-49DB-8543-3F632186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5.xml><?xml version="1.0" encoding="utf-8"?>
<ds:datastoreItem xmlns:ds="http://schemas.openxmlformats.org/officeDocument/2006/customXml" ds:itemID="{DDB4B5C0-CCEB-4266-80E9-1EAC789C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2864</Words>
  <Characters>15752</Characters>
  <Application>Microsoft Office Word</Application>
  <DocSecurity>0</DocSecurity>
  <Lines>375</Lines>
  <Paragraphs>182</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Hoffman</cp:lastModifiedBy>
  <cp:revision>3</cp:revision>
  <cp:lastPrinted>2013-08-14T16:21:00Z</cp:lastPrinted>
  <dcterms:created xsi:type="dcterms:W3CDTF">2022-08-10T16:28:00Z</dcterms:created>
  <dcterms:modified xsi:type="dcterms:W3CDTF">2022-08-10T16:29:00Z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0x01010092C6998AEF49B14C9162997A2C2FC277</vt:lpwstr>
  </property>
  <property fmtid="{D5CDD505-2E9C-101B-9397-08002B2CF9AE}" pid="4" name="Order">
    <vt:r8>67165300</vt:r8>
  </property>
  <property fmtid="{D5CDD505-2E9C-101B-9397-08002B2CF9AE}" pid="5" name="xd_Signature">
    <vt:bool>false</vt:bool>
  </property>
  <property fmtid="{D5CDD505-2E9C-101B-9397-08002B2CF9AE}" pid="6" name="SharedWithUsers">
    <vt:lpwstr>232;#Julie Reppas</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