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BEEBE" w14:textId="12719FB0" w:rsidR="007D34A3" w:rsidRDefault="5D43D048" w:rsidP="5D43D048">
      <w:pPr>
        <w:contextualSpacing/>
        <w:jc w:val="center"/>
        <w:rPr>
          <w:rFonts w:ascii="Seaford" w:eastAsia="Seaford" w:hAnsi="Seaford" w:cs="Seaford"/>
          <w:color w:val="000000" w:themeColor="text1"/>
        </w:rPr>
      </w:pPr>
      <w:r w:rsidRPr="5D43D048">
        <w:rPr>
          <w:rFonts w:ascii="Seaford" w:eastAsia="Seaford" w:hAnsi="Seaford" w:cs="Seaford"/>
          <w:color w:val="000000" w:themeColor="text1"/>
          <w:highlight w:val="yellow"/>
        </w:rPr>
        <w:t xml:space="preserve">TEMPLATE LETTER – Please place on hospital letterhead and add hospital-specific details </w:t>
      </w:r>
    </w:p>
    <w:p w14:paraId="401C0843" w14:textId="21E22419" w:rsidR="007D34A3" w:rsidRDefault="007D34A3" w:rsidP="5D43D048">
      <w:pPr>
        <w:contextualSpacing/>
        <w:jc w:val="both"/>
        <w:rPr>
          <w:rFonts w:ascii="Seaford" w:eastAsia="Seaford" w:hAnsi="Seaford" w:cs="Seaford"/>
          <w:color w:val="000000" w:themeColor="text1"/>
        </w:rPr>
      </w:pPr>
    </w:p>
    <w:p w14:paraId="01166FA7" w14:textId="1C6E29CB" w:rsidR="007D34A3" w:rsidRDefault="007D34A3" w:rsidP="5D43D048">
      <w:pPr>
        <w:contextualSpacing/>
        <w:jc w:val="both"/>
        <w:rPr>
          <w:rFonts w:ascii="Seaford" w:eastAsia="Seaford" w:hAnsi="Seaford" w:cs="Seaford"/>
          <w:color w:val="000000" w:themeColor="text1"/>
        </w:rPr>
      </w:pPr>
    </w:p>
    <w:p w14:paraId="5FC49D4F" w14:textId="1F987F6E" w:rsidR="007D34A3" w:rsidRDefault="5D43D048" w:rsidP="2A2034A6">
      <w:pPr>
        <w:contextualSpacing/>
        <w:jc w:val="both"/>
        <w:rPr>
          <w:rFonts w:ascii="Seaford" w:eastAsia="Seaford" w:hAnsi="Seaford" w:cs="Seaford"/>
          <w:color w:val="000000" w:themeColor="text1"/>
        </w:rPr>
      </w:pPr>
      <w:r w:rsidRPr="2A2034A6">
        <w:rPr>
          <w:rFonts w:ascii="Seaford" w:eastAsia="Seaford" w:hAnsi="Seaford" w:cs="Seaford"/>
          <w:color w:val="000000" w:themeColor="text1"/>
          <w:highlight w:val="yellow"/>
        </w:rPr>
        <w:t>DATE</w:t>
      </w:r>
      <w:r w:rsidRPr="2A2034A6">
        <w:rPr>
          <w:rFonts w:ascii="Seaford" w:eastAsia="Seaford" w:hAnsi="Seaford" w:cs="Seaford"/>
          <w:color w:val="000000" w:themeColor="text1"/>
        </w:rPr>
        <w:t>, 2022</w:t>
      </w:r>
    </w:p>
    <w:p w14:paraId="20F836F3" w14:textId="46430914" w:rsidR="007D34A3" w:rsidRDefault="007D34A3" w:rsidP="5D43D048">
      <w:pPr>
        <w:contextualSpacing/>
        <w:jc w:val="both"/>
        <w:rPr>
          <w:rFonts w:ascii="Seaford" w:eastAsia="Seaford" w:hAnsi="Seaford" w:cs="Seaford"/>
          <w:color w:val="000000" w:themeColor="text1"/>
        </w:rPr>
      </w:pPr>
    </w:p>
    <w:p w14:paraId="110B6339" w14:textId="13242A1C" w:rsidR="007D34A3" w:rsidRDefault="01DED003" w:rsidP="01DED003">
      <w:pPr>
        <w:spacing w:after="0" w:line="257" w:lineRule="auto"/>
        <w:contextualSpacing/>
        <w:jc w:val="both"/>
      </w:pPr>
      <w:r w:rsidRPr="673405D0">
        <w:rPr>
          <w:rFonts w:ascii="Seaford" w:eastAsia="Seaford" w:hAnsi="Seaford" w:cs="Seaford"/>
          <w:color w:val="000000" w:themeColor="text1"/>
        </w:rPr>
        <w:t>The Honorable Jim Wood, DDS</w:t>
      </w:r>
    </w:p>
    <w:p w14:paraId="7E1A9634" w14:textId="3CDF06A3" w:rsidR="007D34A3" w:rsidRDefault="01DED003" w:rsidP="01DED003">
      <w:pPr>
        <w:spacing w:after="0" w:line="257" w:lineRule="auto"/>
        <w:contextualSpacing/>
      </w:pPr>
      <w:r w:rsidRPr="673405D0">
        <w:rPr>
          <w:rFonts w:ascii="Seaford" w:eastAsia="Seaford" w:hAnsi="Seaford" w:cs="Seaford"/>
        </w:rPr>
        <w:t xml:space="preserve">Chair, Assembly Health Committee </w:t>
      </w:r>
    </w:p>
    <w:p w14:paraId="2B1FC7C2" w14:textId="295DDE3E" w:rsidR="673405D0" w:rsidRDefault="673405D0" w:rsidP="673405D0">
      <w:pPr>
        <w:spacing w:after="0" w:line="257" w:lineRule="auto"/>
        <w:contextualSpacing/>
        <w:rPr>
          <w:rFonts w:ascii="Seaford" w:eastAsia="Seaford" w:hAnsi="Seaford" w:cs="Seaford"/>
        </w:rPr>
      </w:pPr>
      <w:r w:rsidRPr="673405D0">
        <w:rPr>
          <w:rFonts w:ascii="Seaford" w:eastAsia="Seaford" w:hAnsi="Seaford" w:cs="Seaford"/>
        </w:rPr>
        <w:t>State Capitol, Room 6005</w:t>
      </w:r>
    </w:p>
    <w:p w14:paraId="1DD0BB5A" w14:textId="78725A58" w:rsidR="007D34A3" w:rsidRDefault="01DED003" w:rsidP="01DED003">
      <w:pPr>
        <w:spacing w:after="0" w:line="257" w:lineRule="auto"/>
        <w:contextualSpacing/>
      </w:pPr>
      <w:r w:rsidRPr="01DED003">
        <w:rPr>
          <w:rFonts w:ascii="Seaford" w:eastAsia="Seaford" w:hAnsi="Seaford" w:cs="Seaford"/>
        </w:rPr>
        <w:t>Sacramento, CA 95814</w:t>
      </w:r>
    </w:p>
    <w:p w14:paraId="06C5A4E5" w14:textId="1B5D0526" w:rsidR="007D34A3" w:rsidRDefault="007D34A3" w:rsidP="01DED003">
      <w:pPr>
        <w:contextualSpacing/>
        <w:rPr>
          <w:rFonts w:ascii="Seaford" w:eastAsia="Seaford" w:hAnsi="Seaford" w:cs="Seaford"/>
        </w:rPr>
      </w:pPr>
    </w:p>
    <w:p w14:paraId="241EF346" w14:textId="1EA9C691" w:rsidR="007D34A3" w:rsidRDefault="5D43D048" w:rsidP="5D43D048">
      <w:pPr>
        <w:contextualSpacing/>
        <w:jc w:val="both"/>
        <w:rPr>
          <w:rFonts w:ascii="Seaford" w:eastAsia="Seaford" w:hAnsi="Seaford" w:cs="Seaford"/>
          <w:b/>
          <w:bCs/>
        </w:rPr>
      </w:pPr>
      <w:r w:rsidRPr="5D43D048">
        <w:rPr>
          <w:rFonts w:ascii="Seaford" w:eastAsia="Seaford" w:hAnsi="Seaford" w:cs="Seaford"/>
          <w:b/>
          <w:bCs/>
          <w:color w:val="000000" w:themeColor="text1"/>
        </w:rPr>
        <w:t>SUBJECT:</w:t>
      </w:r>
      <w:r w:rsidR="00647C6F">
        <w:tab/>
      </w:r>
      <w:r w:rsidRPr="5D43D048">
        <w:rPr>
          <w:rFonts w:ascii="Seaford" w:eastAsia="Seaford" w:hAnsi="Seaford" w:cs="Seaford"/>
          <w:b/>
          <w:bCs/>
        </w:rPr>
        <w:t>Senate Bill 958 (Limón and Portantino) — SUPPORT</w:t>
      </w:r>
    </w:p>
    <w:p w14:paraId="6B98675C" w14:textId="7B7174E7" w:rsidR="007D34A3" w:rsidRDefault="007D34A3" w:rsidP="5D43D048">
      <w:pPr>
        <w:contextualSpacing/>
        <w:jc w:val="both"/>
        <w:rPr>
          <w:rFonts w:ascii="Seaford" w:eastAsia="Seaford" w:hAnsi="Seaford" w:cs="Seaford"/>
          <w:color w:val="000000" w:themeColor="text1"/>
        </w:rPr>
      </w:pPr>
    </w:p>
    <w:p w14:paraId="14D39FB2" w14:textId="2FE80AD6" w:rsidR="007D34A3" w:rsidRDefault="5D43D048" w:rsidP="2A2034A6">
      <w:pPr>
        <w:spacing w:after="0" w:line="240" w:lineRule="auto"/>
        <w:contextualSpacing/>
      </w:pPr>
      <w:r w:rsidRPr="673405D0">
        <w:rPr>
          <w:rFonts w:ascii="Seaford" w:eastAsia="Seaford" w:hAnsi="Seaford" w:cs="Seaford"/>
          <w:color w:val="000000" w:themeColor="text1"/>
        </w:rPr>
        <w:t>Dear Assembly Member Wood:</w:t>
      </w:r>
      <w:r w:rsidRPr="673405D0">
        <w:rPr>
          <w:rFonts w:ascii="Seaford" w:eastAsia="Seaford" w:hAnsi="Seaford" w:cs="Seaford"/>
        </w:rPr>
        <w:t xml:space="preserve"> </w:t>
      </w:r>
    </w:p>
    <w:p w14:paraId="107DA136" w14:textId="4C982F05" w:rsidR="007D34A3" w:rsidRDefault="007D34A3" w:rsidP="2A2034A6">
      <w:pPr>
        <w:spacing w:line="240" w:lineRule="auto"/>
        <w:rPr>
          <w:rFonts w:ascii="Seaford" w:eastAsia="Seaford" w:hAnsi="Seaford" w:cs="Seaford"/>
          <w:color w:val="000000" w:themeColor="text1"/>
        </w:rPr>
      </w:pPr>
    </w:p>
    <w:p w14:paraId="0A19EC53" w14:textId="6CC13B71" w:rsidR="007D34A3" w:rsidRPr="00647C6F" w:rsidRDefault="37297F03" w:rsidP="3DE3EAA8">
      <w:pPr>
        <w:rPr>
          <w:rFonts w:ascii="Seaford" w:eastAsia="Seaford" w:hAnsi="Seaford" w:cs="Seaford"/>
          <w:color w:val="000000" w:themeColor="text1"/>
        </w:rPr>
      </w:pPr>
      <w:r w:rsidRPr="3DE3EAA8">
        <w:rPr>
          <w:rFonts w:ascii="Seaford" w:eastAsia="Seaford" w:hAnsi="Seaford" w:cs="Seaford"/>
          <w:color w:val="000000" w:themeColor="text1"/>
          <w:highlight w:val="yellow"/>
        </w:rPr>
        <w:t>HOSPITAL NAME</w:t>
      </w:r>
      <w:r w:rsidRPr="3DE3EAA8">
        <w:rPr>
          <w:rFonts w:ascii="Seaford" w:eastAsia="Seaford" w:hAnsi="Seaford" w:cs="Seaford"/>
          <w:color w:val="000000" w:themeColor="text1"/>
        </w:rPr>
        <w:t xml:space="preserve"> supports Senate Bill (SB) 958, </w:t>
      </w:r>
      <w:r w:rsidRPr="3DE3EAA8">
        <w:rPr>
          <w:rFonts w:ascii="Seaford" w:eastAsia="Seaford" w:hAnsi="Seaford" w:cs="Seaford"/>
        </w:rPr>
        <w:t xml:space="preserve">which would prevent health plans from mandating the use of third-party vendors for infused medications such as chemotherapy. While SB 958 would not outlaw this policy (referred to as “white bagging”), </w:t>
      </w:r>
      <w:r w:rsidR="3DE3EAA8" w:rsidRPr="3DE3EAA8">
        <w:rPr>
          <w:rFonts w:ascii="Seaford" w:eastAsia="Seaford" w:hAnsi="Seaford" w:cs="Seaford"/>
          <w:color w:val="000000" w:themeColor="text1"/>
        </w:rPr>
        <w:t>it would disallow this practice where there are concerns about patient safety or drug integrity.</w:t>
      </w:r>
    </w:p>
    <w:p w14:paraId="16517D6F" w14:textId="7E668C04" w:rsidR="007D34A3" w:rsidRDefault="5D43D048" w:rsidP="2A2034A6">
      <w:pPr>
        <w:spacing w:line="240" w:lineRule="auto"/>
        <w:rPr>
          <w:rFonts w:ascii="Seaford" w:eastAsia="Seaford" w:hAnsi="Seaford" w:cs="Seaford"/>
          <w:color w:val="000000" w:themeColor="text1"/>
        </w:rPr>
      </w:pPr>
      <w:r w:rsidRPr="2A2034A6">
        <w:rPr>
          <w:rFonts w:ascii="Seaford" w:eastAsia="Seaford" w:hAnsi="Seaford" w:cs="Seaford"/>
          <w:highlight w:val="yellow"/>
        </w:rPr>
        <w:t>HOSPITAL NAME</w:t>
      </w:r>
      <w:r w:rsidRPr="2A2034A6">
        <w:rPr>
          <w:rFonts w:ascii="Seaford" w:eastAsia="Seaford" w:hAnsi="Seaford" w:cs="Seaford"/>
        </w:rPr>
        <w:t xml:space="preserve"> is committed to the safe, timely delivery of life-saving medications for our patients. Unfortunately, white bagging practices </w:t>
      </w:r>
      <w:r w:rsidRPr="2A2034A6">
        <w:rPr>
          <w:rFonts w:ascii="Seaford" w:eastAsia="Seaford" w:hAnsi="Seaford" w:cs="Seaford"/>
          <w:color w:val="000000" w:themeColor="text1"/>
        </w:rPr>
        <w:t xml:space="preserve">prohibit health care providers from using in-stock medications that are infused or injected by doctors or nurses, instead requiring them to call a vendor contracted with the health plan to order each medication on a patient-by-patient basis. </w:t>
      </w:r>
    </w:p>
    <w:p w14:paraId="6F064853" w14:textId="694F0803" w:rsidR="007D34A3" w:rsidRDefault="5D43D048" w:rsidP="2A2034A6">
      <w:pPr>
        <w:spacing w:line="240" w:lineRule="auto"/>
        <w:rPr>
          <w:rFonts w:ascii="Seaford" w:eastAsia="Seaford" w:hAnsi="Seaford" w:cs="Seaford"/>
          <w:color w:val="000000" w:themeColor="text1"/>
        </w:rPr>
      </w:pPr>
      <w:r w:rsidRPr="2A2034A6">
        <w:rPr>
          <w:rFonts w:ascii="Seaford" w:eastAsia="Seaford" w:hAnsi="Seaford" w:cs="Seaford"/>
          <w:color w:val="000000" w:themeColor="text1"/>
        </w:rPr>
        <w:t xml:space="preserve">This practice </w:t>
      </w:r>
      <w:r w:rsidRPr="2A2034A6">
        <w:rPr>
          <w:rFonts w:ascii="Seaford" w:eastAsia="Seaford" w:hAnsi="Seaford" w:cs="Seaford"/>
        </w:rPr>
        <w:t>jeopardizes our patients’ health, safety, and well-being by restricting access to critical medications — and places the health plan and its third-party vendors between patients and providers. If the vendor is unable to deliver the medication, the patient must return for treatment on a different day. Delaying treatment may put the patient’s health at risk, can lead to patient distress, and may impact the patient’s overall treatment plan.</w:t>
      </w:r>
    </w:p>
    <w:p w14:paraId="7FA6D9F5" w14:textId="398EB20E" w:rsidR="007D34A3" w:rsidRDefault="5D43D048" w:rsidP="2A2034A6">
      <w:pPr>
        <w:spacing w:line="240" w:lineRule="auto"/>
        <w:rPr>
          <w:rFonts w:ascii="Seaford" w:eastAsia="Seaford" w:hAnsi="Seaford" w:cs="Seaford"/>
          <w:highlight w:val="yellow"/>
        </w:rPr>
      </w:pPr>
      <w:r w:rsidRPr="2A2034A6">
        <w:rPr>
          <w:rFonts w:ascii="Seaford" w:eastAsia="Seaford" w:hAnsi="Seaford" w:cs="Seaford"/>
          <w:highlight w:val="yellow"/>
        </w:rPr>
        <w:t>INSERT SPECIFIC PATIENT EXAMPLE HERE, IF AVAILABLE</w:t>
      </w:r>
    </w:p>
    <w:p w14:paraId="5BDB8336" w14:textId="17F3499D" w:rsidR="007D34A3" w:rsidRDefault="5D43D048" w:rsidP="2A2034A6">
      <w:pPr>
        <w:spacing w:line="240" w:lineRule="auto"/>
        <w:rPr>
          <w:rFonts w:ascii="Seaford" w:eastAsia="Seaford" w:hAnsi="Seaford" w:cs="Seaford"/>
        </w:rPr>
      </w:pPr>
      <w:r w:rsidRPr="4769D94C">
        <w:rPr>
          <w:rFonts w:ascii="Seaford" w:eastAsia="Seaford" w:hAnsi="Seaford" w:cs="Seaford"/>
        </w:rPr>
        <w:t>Additionally, white bagging removes providers from the process of acquiring and managing medications, and instead places the responsibility with health plans and its vendors. This increases the opportunity for error — since the medications are not part of a hospital’s or physician office’s quality control protocols, the provider has no way of assuring drug integrity and quality control.</w:t>
      </w:r>
    </w:p>
    <w:p w14:paraId="7D83BA3E" w14:textId="53B54FEB" w:rsidR="007D34A3" w:rsidRDefault="5D43D048" w:rsidP="2A2034A6">
      <w:pPr>
        <w:spacing w:line="240" w:lineRule="auto"/>
        <w:contextualSpacing/>
        <w:jc w:val="both"/>
        <w:rPr>
          <w:rFonts w:ascii="Seaford" w:eastAsia="Seaford" w:hAnsi="Seaford" w:cs="Seaford"/>
          <w:color w:val="000000" w:themeColor="text1"/>
        </w:rPr>
      </w:pPr>
      <w:r w:rsidRPr="2A2034A6">
        <w:rPr>
          <w:rFonts w:ascii="Seaford" w:eastAsia="Seaford" w:hAnsi="Seaford" w:cs="Seaford"/>
          <w:color w:val="000000" w:themeColor="text1"/>
        </w:rPr>
        <w:t xml:space="preserve">For these reasons, </w:t>
      </w:r>
      <w:r w:rsidRPr="2A2034A6">
        <w:rPr>
          <w:rFonts w:ascii="Seaford" w:eastAsia="Seaford" w:hAnsi="Seaford" w:cs="Seaford"/>
          <w:color w:val="000000" w:themeColor="text1"/>
          <w:highlight w:val="yellow"/>
        </w:rPr>
        <w:t>HOSPITAL NAME</w:t>
      </w:r>
      <w:r w:rsidRPr="2A2034A6">
        <w:rPr>
          <w:rFonts w:ascii="Seaford" w:eastAsia="Seaford" w:hAnsi="Seaford" w:cs="Seaford"/>
          <w:color w:val="000000" w:themeColor="text1"/>
        </w:rPr>
        <w:t xml:space="preserve"> respectfully asks for your “AYE” vote on SB 958.</w:t>
      </w:r>
    </w:p>
    <w:p w14:paraId="6541A247" w14:textId="426A35BF" w:rsidR="007D34A3" w:rsidRDefault="007D34A3" w:rsidP="2A2034A6">
      <w:pPr>
        <w:spacing w:line="240" w:lineRule="auto"/>
        <w:rPr>
          <w:rFonts w:ascii="Seaford" w:eastAsia="Seaford" w:hAnsi="Seaford" w:cs="Seaford"/>
        </w:rPr>
      </w:pPr>
    </w:p>
    <w:p w14:paraId="5FE69614" w14:textId="3E750BE2" w:rsidR="007D34A3" w:rsidRDefault="5D43D048" w:rsidP="2A2034A6">
      <w:pPr>
        <w:spacing w:line="240" w:lineRule="auto"/>
        <w:rPr>
          <w:rFonts w:ascii="Seaford" w:eastAsia="Seaford" w:hAnsi="Seaford" w:cs="Seaford"/>
        </w:rPr>
      </w:pPr>
      <w:r w:rsidRPr="2A2034A6">
        <w:rPr>
          <w:rFonts w:ascii="Seaford" w:eastAsia="Seaford" w:hAnsi="Seaford" w:cs="Seaford"/>
        </w:rPr>
        <w:t>Sincerely,</w:t>
      </w:r>
    </w:p>
    <w:p w14:paraId="278D3154" w14:textId="5EEF3F2C" w:rsidR="007D34A3" w:rsidRDefault="007D34A3" w:rsidP="2A2034A6">
      <w:pPr>
        <w:spacing w:line="240" w:lineRule="auto"/>
        <w:rPr>
          <w:rFonts w:ascii="Seaford" w:eastAsia="Seaford" w:hAnsi="Seaford" w:cs="Seaford"/>
        </w:rPr>
      </w:pPr>
    </w:p>
    <w:p w14:paraId="680ADDEA" w14:textId="30E751A2" w:rsidR="007D34A3" w:rsidRDefault="5D43D048" w:rsidP="2A2034A6">
      <w:pPr>
        <w:spacing w:line="240" w:lineRule="auto"/>
        <w:contextualSpacing/>
        <w:rPr>
          <w:rFonts w:ascii="Seaford" w:eastAsia="Seaford" w:hAnsi="Seaford" w:cs="Seaford"/>
          <w:color w:val="000000" w:themeColor="text1"/>
        </w:rPr>
      </w:pPr>
      <w:r w:rsidRPr="2A2034A6">
        <w:rPr>
          <w:rFonts w:ascii="Seaford" w:eastAsia="Seaford" w:hAnsi="Seaford" w:cs="Seaford"/>
          <w:color w:val="000000" w:themeColor="text1"/>
          <w:highlight w:val="yellow"/>
        </w:rPr>
        <w:t>Name</w:t>
      </w:r>
    </w:p>
    <w:p w14:paraId="2C078E63" w14:textId="0DF136AD" w:rsidR="007D34A3" w:rsidRDefault="5D43D048" w:rsidP="2A2034A6">
      <w:pPr>
        <w:spacing w:line="240" w:lineRule="auto"/>
        <w:contextualSpacing/>
        <w:rPr>
          <w:rFonts w:ascii="Seaford" w:eastAsia="Seaford" w:hAnsi="Seaford" w:cs="Seaford"/>
          <w:color w:val="000000" w:themeColor="text1"/>
        </w:rPr>
      </w:pPr>
      <w:r w:rsidRPr="2A2034A6">
        <w:rPr>
          <w:rFonts w:ascii="Seaford" w:eastAsia="Seaford" w:hAnsi="Seaford" w:cs="Seaford"/>
          <w:color w:val="000000" w:themeColor="text1"/>
          <w:highlight w:val="yellow"/>
        </w:rPr>
        <w:t>Title</w:t>
      </w:r>
    </w:p>
    <w:sectPr w:rsidR="007D34A3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CC36CA" w14:textId="77777777" w:rsidR="00F978CA" w:rsidRDefault="00647C6F">
      <w:pPr>
        <w:spacing w:after="0" w:line="240" w:lineRule="auto"/>
      </w:pPr>
      <w:r>
        <w:separator/>
      </w:r>
    </w:p>
  </w:endnote>
  <w:endnote w:type="continuationSeparator" w:id="0">
    <w:p w14:paraId="2B24255D" w14:textId="77777777" w:rsidR="00F978CA" w:rsidRDefault="00647C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aford">
    <w:altName w:val="Seaford"/>
    <w:panose1 w:val="020B0502030303020204"/>
    <w:charset w:val="00"/>
    <w:family w:val="swiss"/>
    <w:pitch w:val="variable"/>
    <w:sig w:usb0="8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D43D048" w14:paraId="0163A9A0" w14:textId="77777777" w:rsidTr="5D43D048">
      <w:tc>
        <w:tcPr>
          <w:tcW w:w="3120" w:type="dxa"/>
        </w:tcPr>
        <w:p w14:paraId="664960D7" w14:textId="36ABD6A3" w:rsidR="5D43D048" w:rsidRDefault="5D43D048" w:rsidP="5D43D048">
          <w:pPr>
            <w:pStyle w:val="Header"/>
            <w:ind w:left="-115"/>
          </w:pPr>
        </w:p>
      </w:tc>
      <w:tc>
        <w:tcPr>
          <w:tcW w:w="3120" w:type="dxa"/>
        </w:tcPr>
        <w:p w14:paraId="55C24F98" w14:textId="43991F72" w:rsidR="5D43D048" w:rsidRDefault="5D43D048" w:rsidP="5D43D048">
          <w:pPr>
            <w:pStyle w:val="Header"/>
            <w:jc w:val="center"/>
          </w:pPr>
        </w:p>
      </w:tc>
      <w:tc>
        <w:tcPr>
          <w:tcW w:w="3120" w:type="dxa"/>
        </w:tcPr>
        <w:p w14:paraId="1C73641B" w14:textId="4EC12E00" w:rsidR="5D43D048" w:rsidRDefault="5D43D048" w:rsidP="5D43D048">
          <w:pPr>
            <w:pStyle w:val="Header"/>
            <w:ind w:right="-115"/>
            <w:jc w:val="right"/>
          </w:pPr>
        </w:p>
      </w:tc>
    </w:tr>
  </w:tbl>
  <w:p w14:paraId="27B5C57F" w14:textId="54E9DA4B" w:rsidR="5D43D048" w:rsidRDefault="5D43D048" w:rsidP="5D43D0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104C71" w14:textId="77777777" w:rsidR="00F978CA" w:rsidRDefault="00647C6F">
      <w:pPr>
        <w:spacing w:after="0" w:line="240" w:lineRule="auto"/>
      </w:pPr>
      <w:r>
        <w:separator/>
      </w:r>
    </w:p>
  </w:footnote>
  <w:footnote w:type="continuationSeparator" w:id="0">
    <w:p w14:paraId="42501920" w14:textId="77777777" w:rsidR="00F978CA" w:rsidRDefault="00647C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D43D048" w14:paraId="0ABA6C8B" w14:textId="77777777" w:rsidTr="5D43D048">
      <w:tc>
        <w:tcPr>
          <w:tcW w:w="3120" w:type="dxa"/>
        </w:tcPr>
        <w:p w14:paraId="3BAC4955" w14:textId="00599F63" w:rsidR="5D43D048" w:rsidRDefault="5D43D048" w:rsidP="5D43D048">
          <w:pPr>
            <w:pStyle w:val="Header"/>
            <w:ind w:left="-115"/>
          </w:pPr>
        </w:p>
      </w:tc>
      <w:tc>
        <w:tcPr>
          <w:tcW w:w="3120" w:type="dxa"/>
        </w:tcPr>
        <w:p w14:paraId="3CBE93E8" w14:textId="67469B29" w:rsidR="5D43D048" w:rsidRDefault="5D43D048" w:rsidP="5D43D048">
          <w:pPr>
            <w:pStyle w:val="Header"/>
            <w:jc w:val="center"/>
          </w:pPr>
        </w:p>
      </w:tc>
      <w:tc>
        <w:tcPr>
          <w:tcW w:w="3120" w:type="dxa"/>
        </w:tcPr>
        <w:p w14:paraId="3AA97D9A" w14:textId="2F3A4E09" w:rsidR="5D43D048" w:rsidRDefault="5D43D048" w:rsidP="5D43D048">
          <w:pPr>
            <w:pStyle w:val="Header"/>
            <w:ind w:right="-115"/>
            <w:jc w:val="right"/>
          </w:pPr>
        </w:p>
      </w:tc>
    </w:tr>
  </w:tbl>
  <w:p w14:paraId="261965DE" w14:textId="42187008" w:rsidR="5D43D048" w:rsidRDefault="5D43D048" w:rsidP="5D43D04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EFDB8A7"/>
    <w:rsid w:val="00113197"/>
    <w:rsid w:val="004D6786"/>
    <w:rsid w:val="00647C6F"/>
    <w:rsid w:val="007D34A3"/>
    <w:rsid w:val="00F978CA"/>
    <w:rsid w:val="011DE7D7"/>
    <w:rsid w:val="01D6CA26"/>
    <w:rsid w:val="01DED003"/>
    <w:rsid w:val="02D5D2A8"/>
    <w:rsid w:val="038C6548"/>
    <w:rsid w:val="053A59CD"/>
    <w:rsid w:val="07305EEE"/>
    <w:rsid w:val="085FD66B"/>
    <w:rsid w:val="0A950A14"/>
    <w:rsid w:val="0B7C9BE1"/>
    <w:rsid w:val="0D04180A"/>
    <w:rsid w:val="0DA964ED"/>
    <w:rsid w:val="11EEB35D"/>
    <w:rsid w:val="1283C087"/>
    <w:rsid w:val="15BB6149"/>
    <w:rsid w:val="172642B1"/>
    <w:rsid w:val="172EC6B4"/>
    <w:rsid w:val="187F7FF8"/>
    <w:rsid w:val="1B458AFB"/>
    <w:rsid w:val="1BF189E0"/>
    <w:rsid w:val="1DA6605A"/>
    <w:rsid w:val="1EFDB8A7"/>
    <w:rsid w:val="1F643BCD"/>
    <w:rsid w:val="206D15F6"/>
    <w:rsid w:val="21C7FF94"/>
    <w:rsid w:val="22502805"/>
    <w:rsid w:val="257F43C9"/>
    <w:rsid w:val="2778692D"/>
    <w:rsid w:val="2987CE78"/>
    <w:rsid w:val="2A2034A6"/>
    <w:rsid w:val="2DD219BC"/>
    <w:rsid w:val="305301EF"/>
    <w:rsid w:val="31BA1A19"/>
    <w:rsid w:val="336A8FDD"/>
    <w:rsid w:val="35A0EB86"/>
    <w:rsid w:val="361A3605"/>
    <w:rsid w:val="37297F03"/>
    <w:rsid w:val="3B8CF32A"/>
    <w:rsid w:val="3DE3EAA8"/>
    <w:rsid w:val="413EC821"/>
    <w:rsid w:val="42A773E2"/>
    <w:rsid w:val="43664CC8"/>
    <w:rsid w:val="440262B5"/>
    <w:rsid w:val="4769D94C"/>
    <w:rsid w:val="48232544"/>
    <w:rsid w:val="49F7E2B1"/>
    <w:rsid w:val="4CAE4674"/>
    <w:rsid w:val="4CC1539A"/>
    <w:rsid w:val="4D753DBB"/>
    <w:rsid w:val="4FF8F45C"/>
    <w:rsid w:val="5986AE45"/>
    <w:rsid w:val="59DCF80E"/>
    <w:rsid w:val="5D43D048"/>
    <w:rsid w:val="5D5B3CD5"/>
    <w:rsid w:val="5E78F8F7"/>
    <w:rsid w:val="64682D09"/>
    <w:rsid w:val="65D64C3C"/>
    <w:rsid w:val="673405D0"/>
    <w:rsid w:val="692A0869"/>
    <w:rsid w:val="6B0F6245"/>
    <w:rsid w:val="6BBC67E1"/>
    <w:rsid w:val="6EF8F639"/>
    <w:rsid w:val="6FFD5C8B"/>
    <w:rsid w:val="716C2F6A"/>
    <w:rsid w:val="7307FFCB"/>
    <w:rsid w:val="7313B68F"/>
    <w:rsid w:val="73C21CF1"/>
    <w:rsid w:val="780437B2"/>
    <w:rsid w:val="79E64163"/>
    <w:rsid w:val="7C7E33C1"/>
    <w:rsid w:val="7DC6543A"/>
    <w:rsid w:val="7FBE18D8"/>
    <w:rsid w:val="7FCDB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0C3634"/>
  <w15:chartTrackingRefBased/>
  <w15:docId w15:val="{119AB18B-3848-4EE2-8E15-F9C8C21F6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Revision">
    <w:name w:val="Revision"/>
    <w:hidden/>
    <w:uiPriority w:val="99"/>
    <w:semiHidden/>
    <w:rsid w:val="0011319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4f1bc41-95bc-426d-befc-d768ff8af8f7">Draft</Status>
    <lcf76f155ced4ddcb4097134ff3c332f xmlns="74f1bc41-95bc-426d-befc-d768ff8af8f7">
      <Terms xmlns="http://schemas.microsoft.com/office/infopath/2007/PartnerControls"/>
    </lcf76f155ced4ddcb4097134ff3c332f>
    <TaxCatchAll xmlns="eec1121c-cda9-4836-be94-b3e836ec7879" xsi:nil="true"/>
    <Number xmlns="74f1bc41-95bc-426d-befc-d768ff8af8f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C6998AEF49B14C9162997A2C2FC277" ma:contentTypeVersion="18" ma:contentTypeDescription="Create a new document." ma:contentTypeScope="" ma:versionID="dc848a4dd4e51d3222a97eea77f63683">
  <xsd:schema xmlns:xsd="http://www.w3.org/2001/XMLSchema" xmlns:xs="http://www.w3.org/2001/XMLSchema" xmlns:p="http://schemas.microsoft.com/office/2006/metadata/properties" xmlns:ns2="eec1121c-cda9-4836-be94-b3e836ec7879" xmlns:ns3="74f1bc41-95bc-426d-befc-d768ff8af8f7" targetNamespace="http://schemas.microsoft.com/office/2006/metadata/properties" ma:root="true" ma:fieldsID="c2b8e8509123220664d6fffcd9f2240a" ns2:_="" ns3:_="">
    <xsd:import namespace="eec1121c-cda9-4836-be94-b3e836ec7879"/>
    <xsd:import namespace="74f1bc41-95bc-426d-befc-d768ff8af8f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Status" minOccurs="0"/>
                <xsd:element ref="ns3:MediaLengthInSeconds" minOccurs="0"/>
                <xsd:element ref="ns3:Number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c1121c-cda9-4836-be94-b3e836ec787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d111deb5-85fb-4757-822d-bf885682c216}" ma:internalName="TaxCatchAll" ma:showField="CatchAllData" ma:web="eec1121c-cda9-4836-be94-b3e836ec78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f1bc41-95bc-426d-befc-d768ff8af8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Status" ma:index="20" nillable="true" ma:displayName="Status" ma:default="Draft" ma:format="Dropdown" ma:internalName="Status">
      <xsd:simpleType>
        <xsd:restriction base="dms:Choice">
          <xsd:enumeration value="Draft"/>
          <xsd:enumeration value="Final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Number" ma:index="22" nillable="true" ma:displayName="Number" ma:format="Dropdown" ma:internalName="Number" ma:percentage="FALSE">
      <xsd:simpleType>
        <xsd:restriction base="dms:Number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a12d16c8-d7a8-429d-8311-ece1885a54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24DCBB1-9C08-4EEC-9A71-D75162FDF5E3}">
  <ds:schemaRefs>
    <ds:schemaRef ds:uri="http://schemas.microsoft.com/office/2006/metadata/properties"/>
    <ds:schemaRef ds:uri="http://schemas.microsoft.com/office/infopath/2007/PartnerControls"/>
    <ds:schemaRef ds:uri="74f1bc41-95bc-426d-befc-d768ff8af8f7"/>
    <ds:schemaRef ds:uri="eec1121c-cda9-4836-be94-b3e836ec7879"/>
  </ds:schemaRefs>
</ds:datastoreItem>
</file>

<file path=customXml/itemProps2.xml><?xml version="1.0" encoding="utf-8"?>
<ds:datastoreItem xmlns:ds="http://schemas.openxmlformats.org/officeDocument/2006/customXml" ds:itemID="{04C5F8A2-EA52-4455-8636-53139413A3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c1121c-cda9-4836-be94-b3e836ec7879"/>
    <ds:schemaRef ds:uri="74f1bc41-95bc-426d-befc-d768ff8af8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4ED709-FAE2-49A3-9CC9-BFE1D074B47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1726</Characters>
  <Application>Microsoft Office Word</Application>
  <DocSecurity>0</DocSecurity>
  <Lines>14</Lines>
  <Paragraphs>4</Paragraphs>
  <ScaleCrop>false</ScaleCrop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Coco Baker</dc:creator>
  <cp:keywords/>
  <dc:description/>
  <cp:lastModifiedBy>Huntington Sharp</cp:lastModifiedBy>
  <cp:revision>2</cp:revision>
  <dcterms:created xsi:type="dcterms:W3CDTF">2022-06-10T20:54:00Z</dcterms:created>
  <dcterms:modified xsi:type="dcterms:W3CDTF">2022-06-10T20:54:00Z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0x01010092C6998AEF49B14C9162997A2C2FC277</vt:lpwstr>
  </property>
  <property fmtid="{D5CDD505-2E9C-101B-9397-08002B2CF9AE}" pid="3" name="MediaServiceImageTags">
    <vt:lpwstr/>
  </property>
</Properties>
</file>