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9D88592" w14:paraId="4689CCC6" wp14:textId="2871C679">
      <w:pPr>
        <w:spacing w:line="240" w:lineRule="auto"/>
        <w:jc w:val="center"/>
      </w:pPr>
      <w:r w:rsidRPr="79D88592" w:rsidR="79D88592">
        <w:rPr>
          <w:rFonts w:ascii="Seaford" w:hAnsi="Seaford" w:eastAsia="Seaford" w:cs="Seaford"/>
          <w:noProof w:val="0"/>
          <w:color w:val="000000" w:themeColor="text1" w:themeTint="FF" w:themeShade="FF"/>
          <w:sz w:val="22"/>
          <w:szCs w:val="22"/>
          <w:highlight w:val="yellow"/>
          <w:lang w:val="en-US"/>
        </w:rPr>
        <w:t xml:space="preserve">TEMPLATE LETTER – Please place </w:t>
      </w:r>
      <w:proofErr w:type="gramStart"/>
      <w:r w:rsidRPr="79D88592" w:rsidR="79D88592">
        <w:rPr>
          <w:rFonts w:ascii="Seaford" w:hAnsi="Seaford" w:eastAsia="Seaford" w:cs="Seaford"/>
          <w:noProof w:val="0"/>
          <w:color w:val="000000" w:themeColor="text1" w:themeTint="FF" w:themeShade="FF"/>
          <w:sz w:val="22"/>
          <w:szCs w:val="22"/>
          <w:highlight w:val="yellow"/>
          <w:lang w:val="en-US"/>
        </w:rPr>
        <w:t>on</w:t>
      </w:r>
      <w:proofErr w:type="gramEnd"/>
      <w:r w:rsidRPr="79D88592" w:rsidR="79D88592">
        <w:rPr>
          <w:rFonts w:ascii="Seaford" w:hAnsi="Seaford" w:eastAsia="Seaford" w:cs="Seaford"/>
          <w:noProof w:val="0"/>
          <w:color w:val="000000" w:themeColor="text1" w:themeTint="FF" w:themeShade="FF"/>
          <w:sz w:val="22"/>
          <w:szCs w:val="22"/>
          <w:highlight w:val="yellow"/>
          <w:lang w:val="en-US"/>
        </w:rPr>
        <w:t xml:space="preserve"> letterhead and add details specific to your organization </w:t>
      </w:r>
    </w:p>
    <w:p xmlns:wp14="http://schemas.microsoft.com/office/word/2010/wordml" w:rsidP="79D88592" w14:paraId="67D49A30" wp14:textId="58AC7E42">
      <w:pPr>
        <w:spacing w:line="240" w:lineRule="auto"/>
        <w:jc w:val="both"/>
      </w:pPr>
      <w:r w:rsidRPr="79D88592" w:rsidR="79D88592">
        <w:rPr>
          <w:rFonts w:ascii="Seaford" w:hAnsi="Seaford" w:eastAsia="Seaford" w:cs="Seaford"/>
          <w:noProof w:val="0"/>
          <w:color w:val="000000" w:themeColor="text1" w:themeTint="FF" w:themeShade="FF"/>
          <w:sz w:val="22"/>
          <w:szCs w:val="22"/>
          <w:lang w:val="en-US"/>
        </w:rPr>
        <w:t xml:space="preserve"> </w:t>
      </w:r>
    </w:p>
    <w:p xmlns:wp14="http://schemas.microsoft.com/office/word/2010/wordml" w:rsidP="79D88592" w14:paraId="5B55043E" wp14:textId="29E30E5D">
      <w:pPr>
        <w:spacing w:line="240" w:lineRule="auto"/>
        <w:jc w:val="both"/>
      </w:pPr>
      <w:r w:rsidRPr="79D88592" w:rsidR="79D88592">
        <w:rPr>
          <w:rFonts w:ascii="Seaford" w:hAnsi="Seaford" w:eastAsia="Seaford" w:cs="Seaford"/>
          <w:noProof w:val="0"/>
          <w:color w:val="000000" w:themeColor="text1" w:themeTint="FF" w:themeShade="FF"/>
          <w:sz w:val="22"/>
          <w:szCs w:val="22"/>
          <w:lang w:val="en-US"/>
        </w:rPr>
        <w:t xml:space="preserve"> </w:t>
      </w:r>
      <w:r w:rsidRPr="79D88592" w:rsidR="79D88592">
        <w:rPr>
          <w:rFonts w:ascii="Seaford" w:hAnsi="Seaford" w:eastAsia="Seaford" w:cs="Seaford"/>
          <w:noProof w:val="0"/>
          <w:color w:val="000000" w:themeColor="text1" w:themeTint="FF" w:themeShade="FF"/>
          <w:sz w:val="22"/>
          <w:szCs w:val="22"/>
          <w:highlight w:val="yellow"/>
          <w:lang w:val="en-US"/>
        </w:rPr>
        <w:t>DATE</w:t>
      </w:r>
      <w:r w:rsidRPr="79D88592" w:rsidR="79D88592">
        <w:rPr>
          <w:rFonts w:ascii="Seaford" w:hAnsi="Seaford" w:eastAsia="Seaford" w:cs="Seaford"/>
          <w:noProof w:val="0"/>
          <w:color w:val="000000" w:themeColor="text1" w:themeTint="FF" w:themeShade="FF"/>
          <w:sz w:val="22"/>
          <w:szCs w:val="22"/>
          <w:lang w:val="en-US"/>
        </w:rPr>
        <w:t>, 2022</w:t>
      </w:r>
    </w:p>
    <w:p xmlns:wp14="http://schemas.microsoft.com/office/word/2010/wordml" w:rsidP="79D88592" w14:paraId="37B09C90" wp14:textId="35B35F39">
      <w:pPr>
        <w:pStyle w:val="Normal"/>
        <w:spacing w:beforeAutospacing="on" w:afterAutospacing="on" w:line="240" w:lineRule="auto"/>
        <w:jc w:val="both"/>
        <w:rPr>
          <w:rStyle w:val="normaltextrun"/>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4A1A0DEA" wp14:textId="25621114">
      <w:pPr>
        <w:pStyle w:val="Normal"/>
        <w:spacing w:beforeAutospacing="on" w:afterAutospacing="on" w:line="240" w:lineRule="auto"/>
        <w:jc w:val="both"/>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Style w:val="normaltextrun"/>
          <w:rFonts w:ascii="Seaford" w:hAnsi="Seaford" w:eastAsia="Seaford" w:cs="Seaford"/>
          <w:b w:val="0"/>
          <w:bCs w:val="0"/>
          <w:i w:val="0"/>
          <w:iCs w:val="0"/>
          <w:caps w:val="0"/>
          <w:smallCaps w:val="0"/>
          <w:noProof w:val="0"/>
          <w:color w:val="000000" w:themeColor="text1" w:themeTint="FF" w:themeShade="FF"/>
          <w:sz w:val="22"/>
          <w:szCs w:val="22"/>
          <w:lang w:val="en-US"/>
        </w:rPr>
        <w:t xml:space="preserve">The Honorable </w:t>
      </w:r>
      <w:r w:rsidRPr="79D88592" w:rsidR="79D88592">
        <w:rPr>
          <w:rStyle w:val="normaltextrun"/>
          <w:rFonts w:ascii="Seaford" w:hAnsi="Seaford" w:eastAsia="Seaford" w:cs="Seaford"/>
          <w:b w:val="0"/>
          <w:bCs w:val="0"/>
          <w:i w:val="0"/>
          <w:iCs w:val="0"/>
          <w:caps w:val="0"/>
          <w:smallCaps w:val="0"/>
          <w:noProof w:val="0"/>
          <w:color w:val="000000" w:themeColor="text1" w:themeTint="FF" w:themeShade="FF"/>
          <w:sz w:val="22"/>
          <w:szCs w:val="22"/>
          <w:highlight w:val="yellow"/>
          <w:lang w:val="en-US"/>
        </w:rPr>
        <w:t>[FIRST AND LAST NAME]</w:t>
      </w:r>
      <w:r w:rsidRPr="79D88592" w:rsidR="79D88592">
        <w:rPr>
          <w:rStyle w:val="eop"/>
          <w:rFonts w:ascii="Seaford" w:hAnsi="Seaford" w:eastAsia="Seaford" w:cs="Seaford"/>
          <w:b w:val="0"/>
          <w:bCs w:val="0"/>
          <w:i w:val="0"/>
          <w:iCs w:val="0"/>
          <w:caps w:val="0"/>
          <w:smallCaps w:val="0"/>
          <w:noProof w:val="0"/>
          <w:color w:val="000000" w:themeColor="text1" w:themeTint="FF" w:themeShade="FF"/>
          <w:sz w:val="22"/>
          <w:szCs w:val="22"/>
          <w:lang w:val="en-US"/>
        </w:rPr>
        <w:t> </w:t>
      </w:r>
    </w:p>
    <w:p xmlns:wp14="http://schemas.microsoft.com/office/word/2010/wordml" w:rsidP="79D88592" w14:paraId="2EA78E3E" wp14:textId="54D8F9E5">
      <w:pPr>
        <w:spacing w:beforeAutospacing="on" w:afterAutospacing="on" w:line="240" w:lineRule="auto"/>
        <w:jc w:val="both"/>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Style w:val="normaltextrun"/>
          <w:rFonts w:ascii="Seaford" w:hAnsi="Seaford" w:eastAsia="Seaford" w:cs="Seaford"/>
          <w:b w:val="0"/>
          <w:bCs w:val="0"/>
          <w:i w:val="0"/>
          <w:iCs w:val="0"/>
          <w:caps w:val="0"/>
          <w:smallCaps w:val="0"/>
          <w:noProof w:val="0"/>
          <w:color w:val="000000" w:themeColor="text1" w:themeTint="FF" w:themeShade="FF"/>
          <w:sz w:val="22"/>
          <w:szCs w:val="22"/>
          <w:lang w:val="en-US"/>
        </w:rPr>
        <w:t xml:space="preserve">State Capitol, Room </w:t>
      </w:r>
      <w:r w:rsidRPr="79D88592" w:rsidR="79D88592">
        <w:rPr>
          <w:rStyle w:val="normaltextrun"/>
          <w:rFonts w:ascii="Seaford" w:hAnsi="Seaford" w:eastAsia="Seaford" w:cs="Seaford"/>
          <w:b w:val="0"/>
          <w:bCs w:val="0"/>
          <w:i w:val="0"/>
          <w:iCs w:val="0"/>
          <w:caps w:val="0"/>
          <w:smallCaps w:val="0"/>
          <w:noProof w:val="0"/>
          <w:color w:val="000000" w:themeColor="text1" w:themeTint="FF" w:themeShade="FF"/>
          <w:sz w:val="22"/>
          <w:szCs w:val="22"/>
          <w:highlight w:val="yellow"/>
          <w:lang w:val="en-US"/>
        </w:rPr>
        <w:t>[0000]</w:t>
      </w:r>
      <w:r w:rsidRPr="79D88592" w:rsidR="79D88592">
        <w:rPr>
          <w:rStyle w:val="eop"/>
          <w:rFonts w:ascii="Seaford" w:hAnsi="Seaford" w:eastAsia="Seaford" w:cs="Seaford"/>
          <w:b w:val="0"/>
          <w:bCs w:val="0"/>
          <w:i w:val="0"/>
          <w:iCs w:val="0"/>
          <w:caps w:val="0"/>
          <w:smallCaps w:val="0"/>
          <w:noProof w:val="0"/>
          <w:color w:val="000000" w:themeColor="text1" w:themeTint="FF" w:themeShade="FF"/>
          <w:sz w:val="22"/>
          <w:szCs w:val="22"/>
          <w:lang w:val="en-US"/>
        </w:rPr>
        <w:t> </w:t>
      </w:r>
    </w:p>
    <w:p xmlns:wp14="http://schemas.microsoft.com/office/word/2010/wordml" w:rsidP="79D88592" w14:paraId="68A777A1" wp14:textId="0C7A53C9">
      <w:pPr>
        <w:spacing w:beforeAutospacing="on" w:afterAutospacing="on" w:line="240" w:lineRule="auto"/>
        <w:jc w:val="both"/>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Style w:val="normaltextrun"/>
          <w:rFonts w:ascii="Seaford" w:hAnsi="Seaford" w:eastAsia="Seaford" w:cs="Seaford"/>
          <w:b w:val="0"/>
          <w:bCs w:val="0"/>
          <w:i w:val="0"/>
          <w:iCs w:val="0"/>
          <w:caps w:val="0"/>
          <w:smallCaps w:val="0"/>
          <w:noProof w:val="0"/>
          <w:color w:val="000000" w:themeColor="text1" w:themeTint="FF" w:themeShade="FF"/>
          <w:sz w:val="22"/>
          <w:szCs w:val="22"/>
          <w:lang w:val="en-US"/>
        </w:rPr>
        <w:t>Sacramento, CA 95814 </w:t>
      </w:r>
    </w:p>
    <w:p xmlns:wp14="http://schemas.microsoft.com/office/word/2010/wordml" w:rsidP="79D88592" w14:paraId="2171A153" wp14:textId="5A75776A">
      <w:pPr>
        <w:spacing w:line="240" w:lineRule="auto"/>
      </w:pPr>
      <w:r w:rsidRPr="79D88592" w:rsidR="79D88592">
        <w:rPr>
          <w:rFonts w:ascii="Seaford" w:hAnsi="Seaford" w:eastAsia="Seaford" w:cs="Seaford"/>
          <w:noProof w:val="0"/>
          <w:sz w:val="22"/>
          <w:szCs w:val="22"/>
          <w:lang w:val="en-US"/>
        </w:rPr>
        <w:t xml:space="preserve"> </w:t>
      </w:r>
    </w:p>
    <w:p xmlns:wp14="http://schemas.microsoft.com/office/word/2010/wordml" w:rsidP="79D88592" w14:paraId="0A59D9D0" wp14:textId="3A75D67A">
      <w:pPr>
        <w:spacing w:after="0" w:afterAutospacing="off" w:line="240" w:lineRule="auto"/>
      </w:pPr>
      <w:r w:rsidRPr="79D88592" w:rsidR="79D88592">
        <w:rPr>
          <w:rFonts w:ascii="Seaford" w:hAnsi="Seaford" w:eastAsia="Seaford" w:cs="Seaford"/>
          <w:b w:val="1"/>
          <w:bCs w:val="1"/>
          <w:noProof w:val="0"/>
          <w:sz w:val="22"/>
          <w:szCs w:val="22"/>
          <w:lang w:val="en-US"/>
        </w:rPr>
        <w:t xml:space="preserve">SUBJECT: </w:t>
      </w:r>
      <w:r>
        <w:tab/>
      </w:r>
      <w:r>
        <w:tab/>
      </w:r>
      <w:r w:rsidRPr="79D88592" w:rsidR="79D88592">
        <w:rPr>
          <w:rFonts w:ascii="Seaford" w:hAnsi="Seaford" w:eastAsia="Seaford" w:cs="Seaford"/>
          <w:b w:val="1"/>
          <w:bCs w:val="1"/>
          <w:noProof w:val="0"/>
          <w:sz w:val="22"/>
          <w:szCs w:val="22"/>
          <w:lang w:val="en-US"/>
        </w:rPr>
        <w:t xml:space="preserve">AB </w:t>
      </w:r>
      <w:r w:rsidRPr="79D88592" w:rsidR="79D88592">
        <w:rPr>
          <w:rFonts w:ascii="Seaford" w:hAnsi="Seaford" w:eastAsia="Seaford" w:cs="Seaford"/>
          <w:b w:val="1"/>
          <w:bCs w:val="1"/>
          <w:noProof w:val="0"/>
          <w:sz w:val="22"/>
          <w:szCs w:val="22"/>
          <w:lang w:val="en-US"/>
        </w:rPr>
        <w:t>2080 (</w:t>
      </w:r>
      <w:r w:rsidRPr="79D88592" w:rsidR="79D88592">
        <w:rPr>
          <w:rFonts w:ascii="Seaford" w:hAnsi="Seaford" w:eastAsia="Seaford" w:cs="Seaford"/>
          <w:b w:val="1"/>
          <w:bCs w:val="1"/>
          <w:noProof w:val="0"/>
          <w:sz w:val="22"/>
          <w:szCs w:val="22"/>
          <w:lang w:val="en-US"/>
        </w:rPr>
        <w:t>Wood) — OPPOSE</w:t>
      </w:r>
    </w:p>
    <w:p xmlns:wp14="http://schemas.microsoft.com/office/word/2010/wordml" w:rsidP="79D88592" w14:paraId="79D43617" wp14:textId="142DB912">
      <w:pPr>
        <w:spacing w:line="240" w:lineRule="auto"/>
      </w:pPr>
      <w:r w:rsidRPr="79D88592" w:rsidR="79D88592">
        <w:rPr>
          <w:rFonts w:ascii="Seaford" w:hAnsi="Seaford" w:eastAsia="Seaford" w:cs="Seaford"/>
          <w:noProof w:val="0"/>
          <w:sz w:val="22"/>
          <w:szCs w:val="22"/>
          <w:lang w:val="en-US"/>
        </w:rPr>
        <w:t xml:space="preserve"> </w:t>
      </w:r>
    </w:p>
    <w:p xmlns:wp14="http://schemas.microsoft.com/office/word/2010/wordml" w:rsidP="79D88592" w14:paraId="4E20FC3C" wp14:textId="12A6C590">
      <w:pPr>
        <w:spacing w:after="0" w:afterAutospacing="off" w:line="240" w:lineRule="auto"/>
      </w:pPr>
      <w:r w:rsidRPr="79D88592" w:rsidR="79D88592">
        <w:rPr>
          <w:rFonts w:ascii="Seaford" w:hAnsi="Seaford" w:eastAsia="Seaford" w:cs="Seaford"/>
          <w:noProof w:val="0"/>
          <w:sz w:val="22"/>
          <w:szCs w:val="22"/>
          <w:lang w:val="en-US"/>
        </w:rPr>
        <w:t xml:space="preserve">Dear Assembly Member  </w:t>
      </w:r>
      <w:r w:rsidRPr="79D88592" w:rsidR="79D88592">
        <w:rPr>
          <w:rFonts w:ascii="Seaford" w:hAnsi="Seaford" w:eastAsia="Seaford" w:cs="Seaford"/>
          <w:noProof w:val="0"/>
          <w:sz w:val="22"/>
          <w:szCs w:val="22"/>
          <w:highlight w:val="yellow"/>
          <w:lang w:val="en-US"/>
        </w:rPr>
        <w:t>XXX</w:t>
      </w:r>
      <w:r w:rsidRPr="79D88592" w:rsidR="79D88592">
        <w:rPr>
          <w:rFonts w:ascii="Seaford" w:hAnsi="Seaford" w:eastAsia="Seaford" w:cs="Seaford"/>
          <w:noProof w:val="0"/>
          <w:sz w:val="22"/>
          <w:szCs w:val="22"/>
          <w:lang w:val="en-US"/>
        </w:rPr>
        <w:t>:</w:t>
      </w:r>
    </w:p>
    <w:p xmlns:wp14="http://schemas.microsoft.com/office/word/2010/wordml" w:rsidP="79D88592" w14:paraId="721DAC95" wp14:textId="7BC96335">
      <w:pPr>
        <w:pStyle w:val="Normal"/>
        <w:spacing w:line="240" w:lineRule="auto"/>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pPr>
    </w:p>
    <w:p w:rsidR="738BFECB" w:rsidRDefault="738BFECB" w14:paraId="713F7D36" w14:textId="4B97B146">
      <w:r w:rsidRPr="738BFECB" w:rsidR="738BFECB">
        <w:rPr>
          <w:rFonts w:ascii="Seaford" w:hAnsi="Seaford" w:eastAsia="Seaford" w:cs="Seaford"/>
          <w:noProof w:val="0"/>
          <w:color w:val="000000" w:themeColor="text1" w:themeTint="FF" w:themeShade="FF"/>
          <w:sz w:val="22"/>
          <w:szCs w:val="22"/>
          <w:highlight w:val="yellow"/>
          <w:lang w:val="en-US"/>
        </w:rPr>
        <w:t>(Insert hospital name</w:t>
      </w:r>
      <w:r w:rsidRPr="738BFECB" w:rsidR="738BFECB">
        <w:rPr>
          <w:rFonts w:ascii="Seaford" w:hAnsi="Seaford" w:eastAsia="Seaford" w:cs="Seaford"/>
          <w:noProof w:val="0"/>
          <w:color w:val="000000" w:themeColor="text1" w:themeTint="FF" w:themeShade="FF"/>
          <w:sz w:val="22"/>
          <w:szCs w:val="22"/>
          <w:lang w:val="en-US"/>
        </w:rPr>
        <w:t xml:space="preserve">) opposes AB 2080, which would prohibit health care providers and payers from </w:t>
      </w:r>
      <w:proofErr w:type="gramStart"/>
      <w:r w:rsidRPr="738BFECB" w:rsidR="738BFECB">
        <w:rPr>
          <w:rFonts w:ascii="Seaford" w:hAnsi="Seaford" w:eastAsia="Seaford" w:cs="Seaford"/>
          <w:noProof w:val="0"/>
          <w:color w:val="000000" w:themeColor="text1" w:themeTint="FF" w:themeShade="FF"/>
          <w:sz w:val="22"/>
          <w:szCs w:val="22"/>
          <w:lang w:val="en-US"/>
        </w:rPr>
        <w:t>entering into</w:t>
      </w:r>
      <w:proofErr w:type="gramEnd"/>
      <w:r w:rsidRPr="738BFECB" w:rsidR="738BFECB">
        <w:rPr>
          <w:rFonts w:ascii="Seaford" w:hAnsi="Seaford" w:eastAsia="Seaford" w:cs="Seaford"/>
          <w:noProof w:val="0"/>
          <w:color w:val="000000" w:themeColor="text1" w:themeTint="FF" w:themeShade="FF"/>
          <w:sz w:val="22"/>
          <w:szCs w:val="22"/>
          <w:lang w:val="en-US"/>
        </w:rPr>
        <w:t xml:space="preserve"> preferred provider contracts and impose expensive, unpredictable, and unfair bureaucratic hurdles on health care providers and payers who seek to partner. For patients in </w:t>
      </w:r>
      <w:r w:rsidRPr="738BFECB" w:rsidR="738BFECB">
        <w:rPr>
          <w:rFonts w:ascii="Seaford" w:hAnsi="Seaford" w:eastAsia="Seaford" w:cs="Seaford"/>
          <w:noProof w:val="0"/>
          <w:color w:val="000000" w:themeColor="text1" w:themeTint="FF" w:themeShade="FF"/>
          <w:sz w:val="22"/>
          <w:szCs w:val="22"/>
          <w:highlight w:val="yellow"/>
          <w:lang w:val="en-US"/>
        </w:rPr>
        <w:t>(name of your community)</w:t>
      </w:r>
      <w:r w:rsidRPr="738BFECB" w:rsidR="738BFECB">
        <w:rPr>
          <w:rFonts w:ascii="Seaford" w:hAnsi="Seaford" w:eastAsia="Seaford" w:cs="Seaford"/>
          <w:noProof w:val="0"/>
          <w:color w:val="000000" w:themeColor="text1" w:themeTint="FF" w:themeShade="FF"/>
          <w:sz w:val="22"/>
          <w:szCs w:val="22"/>
          <w:lang w:val="en-US"/>
        </w:rPr>
        <w:t>, this will result in more expensive and siloed care, and potentially</w:t>
      </w:r>
      <w:r w:rsidRPr="738BFECB" w:rsidR="738BFECB">
        <w:rPr>
          <w:rFonts w:ascii="Seaford" w:hAnsi="Seaford" w:eastAsia="Seaford" w:cs="Seaford"/>
          <w:noProof w:val="0"/>
          <w:lang w:val="en-US"/>
        </w:rPr>
        <w:t xml:space="preserve"> a loss in reduced access to high-quality health care services.</w:t>
      </w:r>
    </w:p>
    <w:p xmlns:wp14="http://schemas.microsoft.com/office/word/2010/wordml" w:rsidP="79D88592" w14:paraId="447B470D" wp14:textId="136585FF">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Health care integration and coordination undeniably benefit patients and support communities in need, a fact that was only reinforced during the COVID-19 pandemic.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(Insert examples of how integration helped your health system/hospital during the pandemic. Some examples:</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Ability to shift resources such as personal protective equipment, transfer patients, and deploy staff quickly).</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9D88592" w14:paraId="345E42EA" wp14:textId="09BC8F5B">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1711C053" wp14:textId="75599896">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Health care systems also ensure that struggling hospitals and physicians — particularly in rural or underserved areas — have access to the resources necessary to comply with costly regulations, pay for technology that improves patient safety and the quality of care, and can support outreach programs that keeps their communities healthy and active.</w:t>
      </w:r>
    </w:p>
    <w:p xmlns:wp14="http://schemas.microsoft.com/office/word/2010/wordml" w:rsidP="79D88592" w14:paraId="3EB7543A" wp14:textId="5625E44B">
      <w:pPr>
        <w:pStyle w:val="Normal"/>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321BE65E" wp14:textId="6ED36772">
      <w:pPr>
        <w:pStyle w:val="Normal"/>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(For rural/underserved hospitals, list specific examples of how integration has benefitted your community.)</w:t>
      </w:r>
    </w:p>
    <w:p xmlns:wp14="http://schemas.microsoft.com/office/word/2010/wordml" w:rsidP="79D88592" w14:paraId="556493B8" wp14:textId="18903A1C">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5B09183E" wp14:textId="27CA2915">
      <w:pPr>
        <w:pStyle w:val="Normal"/>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Both parts of this bill would lead to patients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paying</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the cost: longer distances to travel for care, a worsening of the conditions that lead to health inequities, higher costs, and limited access to medical innovation.</w:t>
      </w:r>
    </w:p>
    <w:p xmlns:wp14="http://schemas.microsoft.com/office/word/2010/wordml" w:rsidP="79D88592" w14:paraId="04A1E07E" wp14:textId="2F4F9339">
      <w:pPr>
        <w:spacing w:after="0" w:line="240" w:lineRule="auto"/>
        <w:rPr>
          <w:rFonts w:ascii="Seaford" w:hAnsi="Seaford" w:eastAsia="Seaford" w:cs="Seaford"/>
          <w:b w:val="1"/>
          <w:bCs w:val="1"/>
          <w:i w:val="0"/>
          <w:iCs w:val="0"/>
          <w:caps w:val="0"/>
          <w:smallCaps w:val="0"/>
          <w:noProof w:val="0"/>
          <w:color w:val="000000" w:themeColor="text1" w:themeTint="FF" w:themeShade="FF"/>
          <w:sz w:val="22"/>
          <w:szCs w:val="22"/>
          <w:lang w:val="en-US"/>
        </w:rPr>
      </w:pPr>
    </w:p>
    <w:p xmlns:wp14="http://schemas.microsoft.com/office/word/2010/wordml" w:rsidP="79D88592" w14:paraId="1D583E83" wp14:textId="58DFBF73">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1"/>
          <w:bCs w:val="1"/>
          <w:i w:val="0"/>
          <w:iCs w:val="0"/>
          <w:caps w:val="0"/>
          <w:smallCaps w:val="0"/>
          <w:noProof w:val="0"/>
          <w:color w:val="000000" w:themeColor="text1" w:themeTint="FF" w:themeShade="FF"/>
          <w:sz w:val="22"/>
          <w:szCs w:val="22"/>
          <w:lang w:val="en-US"/>
        </w:rPr>
        <w:t xml:space="preserve">Managed Care Contracting </w:t>
      </w:r>
    </w:p>
    <w:p xmlns:wp14="http://schemas.microsoft.com/office/word/2010/wordml" w:rsidP="79D88592" w14:paraId="3931FD59" wp14:textId="53134A91">
      <w:pPr>
        <w:pStyle w:val="Normal"/>
        <w:spacing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roofErr w:type="gramStart"/>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The vast majority of</w:t>
      </w:r>
      <w:proofErr w:type="gramEnd"/>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Californians are now covered by managed care arrangements, in which health plans contract with health care providers for high-quality care at a reduced cost. AB 2080, however, imposes broad contract prohibitions that would disrupt the countless relationships we currently have with payers, physicians, clinics, skilled-nursing facilities, and other health care providers, permanently altering long-standing arrangements that are fundamental to organizing coordinated care. The bill strikes at the very essence of preferred provider arrangements, which limits the ability of integrated health systems to offer seamless care to patients. AB 2080 would unwind managed care in California and place the state on a path backward to illness-oriented and siloed health care, needlessly increasing the cost of health care for state employees and retirees, Medi-Cal patients, and other Californians.</w:t>
      </w:r>
    </w:p>
    <w:p xmlns:wp14="http://schemas.microsoft.com/office/word/2010/wordml" w:rsidP="79D88592" w14:paraId="6B5942AF" wp14:textId="7D089B77">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73DB38E4" wp14:textId="55C50D30">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1"/>
          <w:bCs w:val="1"/>
          <w:i w:val="0"/>
          <w:iCs w:val="0"/>
          <w:caps w:val="0"/>
          <w:smallCaps w:val="0"/>
          <w:noProof w:val="0"/>
          <w:color w:val="000000" w:themeColor="text1" w:themeTint="FF" w:themeShade="FF"/>
          <w:sz w:val="22"/>
          <w:szCs w:val="22"/>
          <w:lang w:val="en-US"/>
        </w:rPr>
        <w:t>Partnerships and Integration</w:t>
      </w:r>
    </w:p>
    <w:p xmlns:wp14="http://schemas.microsoft.com/office/word/2010/wordml" w:rsidP="79D88592" w14:paraId="08A31256" wp14:textId="58C3D1C7">
      <w:pPr>
        <w:pStyle w:val="Default"/>
        <w:spacing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AB 2080 would also prohibit physician groups, hospitals, payers, and others from making certain business decisions without the prior permission of the attorney general. But this is entirely unnecessary: the attorney general has long had the ability to investigate and prosecute anticompetitive behavior, as do federal government authorities. In addition, the creation of vast new attorney general jurisdiction would result in a tremendous increase in direct costs to the state for implementation and hiring of staff to review the thousands of transactions involving California’s very large and complex health care system. Some of the review costs may be charged to the parties in a transaction (including taxpayer-funded public entities such as counties, health care districts, and University of California hospitals). The costs that the parties incur to hire consultants to review transactions will have to be passed on to patients and health care purchasers, including Medi-Cal, CalPERS, and others.</w:t>
      </w:r>
    </w:p>
    <w:p xmlns:wp14="http://schemas.microsoft.com/office/word/2010/wordml" w:rsidP="79D88592" w14:paraId="0EC55E7A" wp14:textId="3616B187">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68E2BE0A" wp14:textId="66B46173">
      <w:pPr>
        <w:pStyle w:val="Normal"/>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If enacted, AB 2080 would unnecessarily restrict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(insert hospital name)</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flexibility and the resources we need simply to keep our doors open and provide vital care to patients. Ultimately, patients in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(insert community name here)</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will pay the cost: longer distances to travel for care, a worsening of the conditions that lead to health inequities, higher costs, and limited access to medical innovation.</w:t>
      </w:r>
    </w:p>
    <w:p xmlns:wp14="http://schemas.microsoft.com/office/word/2010/wordml" w:rsidP="79D88592" w14:paraId="0CDD9A3F" wp14:textId="3C95181A">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1B8A49CD" wp14:textId="7FA789E5">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For these reasons,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(insert hospital name)</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is opposed to AB </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2080 and</w:t>
      </w: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 xml:space="preserve"> asks for your “No” vote on the Assembly floor.</w:t>
      </w:r>
    </w:p>
    <w:p xmlns:wp14="http://schemas.microsoft.com/office/word/2010/wordml" w:rsidP="79D88592" w14:paraId="5223B87A" wp14:textId="09798DFD">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w:rsidR="037D310D" w:rsidP="037D310D" w:rsidRDefault="037D310D" w14:paraId="1FAC156B" w14:textId="7A3A65BB">
      <w:pPr>
        <w:spacing w:after="16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531C12AB" wp14:textId="0A48A891">
      <w:pPr>
        <w:spacing w:after="16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lang w:val="en-US"/>
        </w:rPr>
        <w:t>Sincerely,</w:t>
      </w:r>
    </w:p>
    <w:p xmlns:wp14="http://schemas.microsoft.com/office/word/2010/wordml" w:rsidP="79D88592" w14:paraId="617E153E" wp14:textId="4F08BEE4">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198A5CFA" wp14:textId="0F4AD328">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495CE90B" wp14:textId="1A33828F">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Name</w:t>
      </w:r>
    </w:p>
    <w:p xmlns:wp14="http://schemas.microsoft.com/office/word/2010/wordml" w:rsidP="79D88592" w14:paraId="309572BB" wp14:textId="7EBFF00C">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r w:rsidRPr="79D88592" w:rsidR="79D88592">
        <w:rPr>
          <w:rFonts w:ascii="Seaford" w:hAnsi="Seaford" w:eastAsia="Seaford" w:cs="Seaford"/>
          <w:b w:val="0"/>
          <w:bCs w:val="0"/>
          <w:i w:val="0"/>
          <w:iCs w:val="0"/>
          <w:caps w:val="0"/>
          <w:smallCaps w:val="0"/>
          <w:noProof w:val="0"/>
          <w:color w:val="000000" w:themeColor="text1" w:themeTint="FF" w:themeShade="FF"/>
          <w:sz w:val="22"/>
          <w:szCs w:val="22"/>
          <w:highlight w:val="yellow"/>
          <w:lang w:val="en-US"/>
        </w:rPr>
        <w:t>Title</w:t>
      </w:r>
    </w:p>
    <w:p xmlns:wp14="http://schemas.microsoft.com/office/word/2010/wordml" w:rsidP="79D88592" w14:paraId="0E579BA8" wp14:textId="6779574E">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13BA2492" wp14:textId="6F3099CB">
      <w:pPr>
        <w:spacing w:after="0" w:line="240" w:lineRule="auto"/>
        <w:rPr>
          <w:rFonts w:ascii="Seaford" w:hAnsi="Seaford" w:eastAsia="Seaford" w:cs="Seaford"/>
          <w:b w:val="0"/>
          <w:bCs w:val="0"/>
          <w:i w:val="0"/>
          <w:iCs w:val="0"/>
          <w:caps w:val="0"/>
          <w:smallCaps w:val="0"/>
          <w:noProof w:val="0"/>
          <w:color w:val="000000" w:themeColor="text1" w:themeTint="FF" w:themeShade="FF"/>
          <w:sz w:val="22"/>
          <w:szCs w:val="22"/>
          <w:lang w:val="en-US"/>
        </w:rPr>
      </w:pPr>
    </w:p>
    <w:p xmlns:wp14="http://schemas.microsoft.com/office/word/2010/wordml" w:rsidP="79D88592" w14:paraId="07B665A7" wp14:textId="2FCAD8D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9D88592" w14:paraId="2D439458" wp14:textId="5B700713">
      <w:pPr>
        <w:pStyle w:val="Normal"/>
        <w:spacing w:line="240" w:lineRule="auto"/>
        <w:rPr>
          <w:rFonts w:ascii="Seaford" w:hAnsi="Seaford" w:eastAsia="Seaford" w:cs="Seaford"/>
          <w:noProof w:val="0"/>
          <w:sz w:val="22"/>
          <w:szCs w:val="22"/>
          <w:lang w:val="en-US"/>
        </w:rPr>
      </w:pPr>
    </w:p>
    <w:p xmlns:wp14="http://schemas.microsoft.com/office/word/2010/wordml" w:rsidP="79D88592" w14:paraId="2C078E63" wp14:textId="5E44698C">
      <w:pPr>
        <w:pStyle w:val="Normal"/>
        <w:spacing w:line="240"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82EE82"/>
    <w:rsid w:val="01DB61CA"/>
    <w:rsid w:val="02597F62"/>
    <w:rsid w:val="0280D92E"/>
    <w:rsid w:val="037D310D"/>
    <w:rsid w:val="0C19C471"/>
    <w:rsid w:val="0C19C471"/>
    <w:rsid w:val="0DE1A0CD"/>
    <w:rsid w:val="13ED0284"/>
    <w:rsid w:val="15222F96"/>
    <w:rsid w:val="224E2D90"/>
    <w:rsid w:val="2379C455"/>
    <w:rsid w:val="251297C3"/>
    <w:rsid w:val="26AE6824"/>
    <w:rsid w:val="2A082D1B"/>
    <w:rsid w:val="3232019B"/>
    <w:rsid w:val="323F4063"/>
    <w:rsid w:val="323F4063"/>
    <w:rsid w:val="33A16BF2"/>
    <w:rsid w:val="39764377"/>
    <w:rsid w:val="39764377"/>
    <w:rsid w:val="3B30D673"/>
    <w:rsid w:val="3C82203F"/>
    <w:rsid w:val="3CB6A5A5"/>
    <w:rsid w:val="3EA2919A"/>
    <w:rsid w:val="3F8C5AEB"/>
    <w:rsid w:val="4037F81B"/>
    <w:rsid w:val="40F3C87B"/>
    <w:rsid w:val="40F3C87B"/>
    <w:rsid w:val="420296FE"/>
    <w:rsid w:val="420296FE"/>
    <w:rsid w:val="42825717"/>
    <w:rsid w:val="4289907F"/>
    <w:rsid w:val="452FE2BD"/>
    <w:rsid w:val="453D2D18"/>
    <w:rsid w:val="453D2D18"/>
    <w:rsid w:val="47F6311E"/>
    <w:rsid w:val="4874CDDA"/>
    <w:rsid w:val="48F8D203"/>
    <w:rsid w:val="4B05CC8C"/>
    <w:rsid w:val="4B05CC8C"/>
    <w:rsid w:val="59E256FB"/>
    <w:rsid w:val="5E8383F2"/>
    <w:rsid w:val="5E8383F2"/>
    <w:rsid w:val="6020A1EB"/>
    <w:rsid w:val="61931F60"/>
    <w:rsid w:val="61BC724C"/>
    <w:rsid w:val="61BC724C"/>
    <w:rsid w:val="64406D9D"/>
    <w:rsid w:val="67780E5F"/>
    <w:rsid w:val="679B802C"/>
    <w:rsid w:val="679B802C"/>
    <w:rsid w:val="6AFE5808"/>
    <w:rsid w:val="718BBA17"/>
    <w:rsid w:val="738BFECB"/>
    <w:rsid w:val="758974A9"/>
    <w:rsid w:val="79D88592"/>
    <w:rsid w:val="7A82EE82"/>
    <w:rsid w:val="7ED80E43"/>
    <w:rsid w:val="7ED80E43"/>
    <w:rsid w:val="7FEC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EE82"/>
  <w15:chartTrackingRefBased/>
  <w15:docId w15:val="{320CDC79-24F1-40FF-BF11-EED181C014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79D88592"/>
  </w:style>
  <w:style w:type="character" w:styleId="eop" w:customStyle="true">
    <w:uiPriority w:val="1"/>
    <w:name w:val="eop"/>
    <w:basedOn w:val="DefaultParagraphFont"/>
    <w:rsid w:val="79D88592"/>
  </w:style>
  <w:style w:type="paragraph" w:styleId="Default" w:customStyle="true">
    <w:uiPriority w:val="1"/>
    <w:name w:val="Default"/>
    <w:basedOn w:val="Normal"/>
    <w:rsid w:val="79D88592"/>
    <w:rPr>
      <w:rFonts w:ascii="Seaford" w:hAnsi="Seaford" w:eastAsia="Arial" w:cs="Seaford" w:eastAsiaTheme="minorAscii"/>
      <w:color w:val="000000" w:themeColor="text1" w:themeTint="FF" w:themeShade="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18" ma:contentTypeDescription="Create a new document." ma:contentTypeScope="" ma:versionID="dc848a4dd4e51d3222a97eea77f63683">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2b8e8509123220664d6fffcd9f2240a"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4f1bc41-95bc-426d-befc-d768ff8af8f7">Draft</Status>
    <lcf76f155ced4ddcb4097134ff3c332f xmlns="74f1bc41-95bc-426d-befc-d768ff8af8f7">
      <Terms xmlns="http://schemas.microsoft.com/office/infopath/2007/PartnerControls"/>
    </lcf76f155ced4ddcb4097134ff3c332f>
    <TaxCatchAll xmlns="eec1121c-cda9-4836-be94-b3e836ec7879" xsi:nil="true"/>
    <Number xmlns="74f1bc41-95bc-426d-befc-d768ff8af8f7" xsi:nil="true"/>
  </documentManagement>
</p:properties>
</file>

<file path=customXml/itemProps1.xml><?xml version="1.0" encoding="utf-8"?>
<ds:datastoreItem xmlns:ds="http://schemas.openxmlformats.org/officeDocument/2006/customXml" ds:itemID="{55D9DB54-E8EF-4EBF-A9ED-57CF6F8DD81E}"/>
</file>

<file path=customXml/itemProps2.xml><?xml version="1.0" encoding="utf-8"?>
<ds:datastoreItem xmlns:ds="http://schemas.openxmlformats.org/officeDocument/2006/customXml" ds:itemID="{FDDF1A06-0E80-48E1-8FCC-67163A6C8295}"/>
</file>

<file path=customXml/itemProps3.xml><?xml version="1.0" encoding="utf-8"?>
<ds:datastoreItem xmlns:ds="http://schemas.openxmlformats.org/officeDocument/2006/customXml" ds:itemID="{42B755F5-6434-4B08-BC09-2A7AA350BA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Coco Baker</dc:creator>
  <keywords/>
  <dc:description/>
  <lastModifiedBy>Coco Baker</lastModifiedBy>
  <dcterms:created xsi:type="dcterms:W3CDTF">2022-05-09T16:35:14.0000000Z</dcterms:created>
  <dcterms:modified xsi:type="dcterms:W3CDTF">2022-05-16T21:41:08.1547373Z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0x01010092C6998AEF49B14C9162997A2C2FC277</vt:lpwstr>
  </property>
  <property fmtid="{D5CDD505-2E9C-101B-9397-08002B2CF9AE}" pid="3" name="MediaServiceImageTags">
    <vt:lpwstr/>
  </property>
</Properties>
</file>