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C34D" w14:textId="77777777" w:rsidR="00D55111" w:rsidRPr="00D55111" w:rsidRDefault="00221B7F" w:rsidP="00D55111">
      <w:pPr>
        <w:pStyle w:val="Default"/>
        <w:rPr>
          <w:rFonts w:ascii="Seaford" w:hAnsi="Seaford" w:cstheme="minorHAnsi"/>
          <w:b/>
          <w:bCs/>
          <w:color w:val="0070C0"/>
          <w:sz w:val="32"/>
          <w:szCs w:val="32"/>
        </w:rPr>
      </w:pPr>
      <w:r>
        <w:rPr>
          <w:rFonts w:ascii="Seaford" w:hAnsi="Seaford" w:cstheme="minorHAnsi"/>
          <w:b/>
          <w:bCs/>
          <w:color w:val="0070C0"/>
          <w:sz w:val="32"/>
          <w:szCs w:val="32"/>
        </w:rPr>
        <w:t xml:space="preserve">Californians’ Access to High-Quality, Affordable </w:t>
      </w:r>
      <w:r w:rsidR="00AB1668">
        <w:rPr>
          <w:rFonts w:ascii="Seaford" w:hAnsi="Seaford" w:cstheme="minorHAnsi"/>
          <w:b/>
          <w:bCs/>
          <w:color w:val="0070C0"/>
          <w:sz w:val="32"/>
          <w:szCs w:val="32"/>
        </w:rPr>
        <w:t xml:space="preserve">Health </w:t>
      </w:r>
      <w:r>
        <w:rPr>
          <w:rFonts w:ascii="Seaford" w:hAnsi="Seaford" w:cstheme="minorHAnsi"/>
          <w:b/>
          <w:bCs/>
          <w:color w:val="0070C0"/>
          <w:sz w:val="32"/>
          <w:szCs w:val="32"/>
        </w:rPr>
        <w:t>Care Depends on Strong Partnerships</w:t>
      </w:r>
      <w:r w:rsidR="00AB1668">
        <w:rPr>
          <w:rFonts w:ascii="Seaford" w:hAnsi="Seaford" w:cstheme="minorHAnsi"/>
          <w:b/>
          <w:bCs/>
          <w:color w:val="0070C0"/>
          <w:sz w:val="32"/>
          <w:szCs w:val="32"/>
        </w:rPr>
        <w:t xml:space="preserve"> and Integration</w:t>
      </w:r>
    </w:p>
    <w:p w14:paraId="11D73652" w14:textId="77777777" w:rsidR="00D55111" w:rsidRDefault="00D55111" w:rsidP="00D55111">
      <w:pPr>
        <w:pStyle w:val="Defaul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Prohibition</w:t>
      </w:r>
      <w:r w:rsidRPr="00AD43A9">
        <w:rPr>
          <w:rFonts w:asciiTheme="minorHAnsi" w:hAnsiTheme="minorHAnsi" w:cstheme="minorHAnsi"/>
          <w:i/>
          <w:iCs/>
          <w:color w:val="auto"/>
        </w:rPr>
        <w:t xml:space="preserve"> of in-network incentives and coverage requirements for affiliate providers will eliminate </w:t>
      </w:r>
      <w:r w:rsidR="00AB1668">
        <w:rPr>
          <w:rFonts w:asciiTheme="minorHAnsi" w:hAnsiTheme="minorHAnsi" w:cstheme="minorHAnsi"/>
          <w:i/>
          <w:iCs/>
          <w:color w:val="auto"/>
        </w:rPr>
        <w:t xml:space="preserve">the </w:t>
      </w:r>
      <w:r w:rsidRPr="00AD43A9">
        <w:rPr>
          <w:rFonts w:asciiTheme="minorHAnsi" w:hAnsiTheme="minorHAnsi" w:cstheme="minorHAnsi"/>
          <w:i/>
          <w:iCs/>
          <w:color w:val="auto"/>
        </w:rPr>
        <w:t>managed care model of high</w:t>
      </w:r>
      <w:r>
        <w:rPr>
          <w:rFonts w:asciiTheme="minorHAnsi" w:hAnsiTheme="minorHAnsi" w:cstheme="minorHAnsi"/>
          <w:i/>
          <w:iCs/>
          <w:color w:val="auto"/>
        </w:rPr>
        <w:t>-</w:t>
      </w:r>
      <w:r w:rsidRPr="00AD43A9">
        <w:rPr>
          <w:rFonts w:asciiTheme="minorHAnsi" w:hAnsiTheme="minorHAnsi" w:cstheme="minorHAnsi"/>
          <w:i/>
          <w:iCs/>
          <w:color w:val="auto"/>
        </w:rPr>
        <w:t>quality</w:t>
      </w:r>
      <w:r>
        <w:rPr>
          <w:rFonts w:asciiTheme="minorHAnsi" w:hAnsiTheme="minorHAnsi" w:cstheme="minorHAnsi"/>
          <w:i/>
          <w:iCs/>
          <w:color w:val="auto"/>
        </w:rPr>
        <w:t>,</w:t>
      </w:r>
      <w:r w:rsidRPr="00AD43A9">
        <w:rPr>
          <w:rFonts w:asciiTheme="minorHAnsi" w:hAnsiTheme="minorHAnsi" w:cstheme="minorHAnsi"/>
          <w:i/>
          <w:iCs/>
          <w:color w:val="auto"/>
        </w:rPr>
        <w:t xml:space="preserve"> seamless care for patients</w:t>
      </w:r>
    </w:p>
    <w:p w14:paraId="084B96FF" w14:textId="77777777" w:rsidR="003B22D6" w:rsidRDefault="003B22D6" w:rsidP="00D55111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6EC78BF" w14:textId="77777777" w:rsidR="003B22D6" w:rsidRPr="00023D49" w:rsidRDefault="003B22D6" w:rsidP="006C69E4">
      <w:pPr>
        <w:pStyle w:val="Default"/>
        <w:spacing w:after="120" w:line="276" w:lineRule="auto"/>
        <w:rPr>
          <w:rFonts w:ascii="Seaford" w:hAnsi="Seaford" w:cstheme="minorHAnsi"/>
          <w:i/>
          <w:iCs/>
          <w:color w:val="auto"/>
          <w:sz w:val="22"/>
          <w:szCs w:val="22"/>
        </w:rPr>
      </w:pPr>
      <w:r w:rsidRPr="00023D49">
        <w:rPr>
          <w:rFonts w:ascii="Seaford" w:hAnsi="Seaford" w:cstheme="minorHAnsi"/>
          <w:b/>
          <w:bCs/>
          <w:color w:val="auto"/>
          <w:sz w:val="22"/>
          <w:szCs w:val="22"/>
        </w:rPr>
        <w:t xml:space="preserve">When hospitals partner, </w:t>
      </w:r>
      <w:r w:rsidR="00253E4A" w:rsidRPr="00023D49">
        <w:rPr>
          <w:rFonts w:ascii="Seaford" w:hAnsi="Seaford" w:cstheme="minorHAnsi"/>
          <w:b/>
          <w:bCs/>
          <w:color w:val="auto"/>
          <w:sz w:val="22"/>
          <w:szCs w:val="22"/>
        </w:rPr>
        <w:t xml:space="preserve">we preserve </w:t>
      </w:r>
      <w:r w:rsidRPr="00023D49">
        <w:rPr>
          <w:rFonts w:ascii="Seaford" w:hAnsi="Seaford" w:cstheme="minorHAnsi"/>
          <w:b/>
          <w:bCs/>
          <w:color w:val="auto"/>
          <w:sz w:val="22"/>
          <w:szCs w:val="22"/>
        </w:rPr>
        <w:t>access to</w:t>
      </w:r>
      <w:r w:rsidR="00253E4A" w:rsidRPr="00023D49">
        <w:rPr>
          <w:rFonts w:ascii="Seaford" w:hAnsi="Seaford" w:cstheme="minorHAnsi"/>
          <w:b/>
          <w:bCs/>
          <w:color w:val="auto"/>
          <w:sz w:val="22"/>
          <w:szCs w:val="22"/>
        </w:rPr>
        <w:t xml:space="preserve"> high</w:t>
      </w:r>
      <w:r w:rsidR="00023D49" w:rsidRPr="00023D49">
        <w:rPr>
          <w:rFonts w:ascii="Seaford" w:hAnsi="Seaford" w:cstheme="minorHAnsi"/>
          <w:b/>
          <w:bCs/>
          <w:color w:val="auto"/>
          <w:sz w:val="22"/>
          <w:szCs w:val="22"/>
        </w:rPr>
        <w:t>-</w:t>
      </w:r>
      <w:r w:rsidR="00253E4A" w:rsidRPr="00023D49">
        <w:rPr>
          <w:rFonts w:ascii="Seaford" w:hAnsi="Seaford" w:cstheme="minorHAnsi"/>
          <w:b/>
          <w:bCs/>
          <w:color w:val="auto"/>
          <w:sz w:val="22"/>
          <w:szCs w:val="22"/>
        </w:rPr>
        <w:t>quality</w:t>
      </w:r>
      <w:r w:rsidRPr="00023D49">
        <w:rPr>
          <w:rFonts w:ascii="Seaford" w:hAnsi="Seaford" w:cstheme="minorHAnsi"/>
          <w:b/>
          <w:bCs/>
          <w:color w:val="auto"/>
          <w:sz w:val="22"/>
          <w:szCs w:val="22"/>
        </w:rPr>
        <w:t xml:space="preserve"> health care </w:t>
      </w:r>
      <w:r w:rsidR="00253E4A" w:rsidRPr="00023D49">
        <w:rPr>
          <w:rFonts w:ascii="Seaford" w:hAnsi="Seaford" w:cstheme="minorHAnsi"/>
          <w:b/>
          <w:bCs/>
          <w:color w:val="auto"/>
          <w:sz w:val="22"/>
          <w:szCs w:val="22"/>
        </w:rPr>
        <w:t>and save</w:t>
      </w:r>
      <w:r w:rsidRPr="00023D49">
        <w:rPr>
          <w:rFonts w:ascii="Seaford" w:hAnsi="Seaford" w:cstheme="minorHAnsi"/>
          <w:b/>
          <w:bCs/>
          <w:color w:val="auto"/>
          <w:sz w:val="22"/>
          <w:szCs w:val="22"/>
        </w:rPr>
        <w:t xml:space="preserve"> patient</w:t>
      </w:r>
      <w:r w:rsidR="00253E4A" w:rsidRPr="00023D49">
        <w:rPr>
          <w:rFonts w:ascii="Seaford" w:hAnsi="Seaford" w:cstheme="minorHAnsi"/>
          <w:b/>
          <w:bCs/>
          <w:color w:val="auto"/>
          <w:sz w:val="22"/>
          <w:szCs w:val="22"/>
        </w:rPr>
        <w:t xml:space="preserve"> lives</w:t>
      </w:r>
      <w:r w:rsidRPr="00023D49">
        <w:rPr>
          <w:rFonts w:ascii="Seaford" w:hAnsi="Seaford" w:cstheme="minorHAnsi"/>
          <w:i/>
          <w:iCs/>
          <w:color w:val="auto"/>
          <w:sz w:val="22"/>
          <w:szCs w:val="22"/>
        </w:rPr>
        <w:t xml:space="preserve">. </w:t>
      </w:r>
    </w:p>
    <w:p w14:paraId="48E1157F" w14:textId="77777777" w:rsidR="00D55111" w:rsidRPr="00023D49" w:rsidRDefault="00D55111" w:rsidP="000E535E">
      <w:pPr>
        <w:pStyle w:val="ListParagraph"/>
        <w:numPr>
          <w:ilvl w:val="0"/>
          <w:numId w:val="5"/>
        </w:numPr>
        <w:spacing w:line="276" w:lineRule="auto"/>
        <w:rPr>
          <w:rFonts w:ascii="Seaford" w:hAnsi="Seaford" w:cstheme="minorHAnsi"/>
          <w:b/>
          <w:bCs/>
          <w:szCs w:val="22"/>
        </w:rPr>
      </w:pPr>
      <w:r w:rsidRPr="00023D49">
        <w:rPr>
          <w:rFonts w:ascii="Seaford" w:hAnsi="Seaford" w:cstheme="minorHAnsi"/>
          <w:szCs w:val="22"/>
        </w:rPr>
        <w:t>During the pandemic, California’s integrated health systems and partnerships saved countless lives</w:t>
      </w:r>
      <w:r w:rsidR="00D125BE" w:rsidRPr="00023D49">
        <w:rPr>
          <w:rFonts w:ascii="Seaford" w:hAnsi="Seaford" w:cstheme="minorHAnsi"/>
          <w:szCs w:val="22"/>
        </w:rPr>
        <w:t xml:space="preserve"> with the </w:t>
      </w:r>
      <w:r w:rsidRPr="00023D49">
        <w:rPr>
          <w:rFonts w:ascii="Seaford" w:hAnsi="Seaford" w:cstheme="minorHAnsi"/>
          <w:szCs w:val="22"/>
        </w:rPr>
        <w:t>seamless shift of limited resources, such as PPE, the ability to transfer patients, and the ability to deploy health</w:t>
      </w:r>
      <w:r w:rsidR="00221B7F" w:rsidRPr="00023D49">
        <w:rPr>
          <w:rFonts w:ascii="Seaford" w:hAnsi="Seaford" w:cstheme="minorHAnsi"/>
          <w:szCs w:val="22"/>
        </w:rPr>
        <w:t xml:space="preserve"> </w:t>
      </w:r>
      <w:r w:rsidRPr="00023D49">
        <w:rPr>
          <w:rFonts w:ascii="Seaford" w:hAnsi="Seaford" w:cstheme="minorHAnsi"/>
          <w:szCs w:val="22"/>
        </w:rPr>
        <w:t xml:space="preserve">care workers to areas of high need during crisis. </w:t>
      </w:r>
    </w:p>
    <w:p w14:paraId="7E02885E" w14:textId="77777777" w:rsidR="003B22D6" w:rsidRPr="00023D49" w:rsidRDefault="003B22D6" w:rsidP="006C69E4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Fonts w:ascii="Seaford" w:hAnsi="Seaford" w:cstheme="minorHAnsi"/>
          <w:szCs w:val="22"/>
        </w:rPr>
      </w:pPr>
      <w:r w:rsidRPr="00023D49">
        <w:rPr>
          <w:rFonts w:ascii="Seaford" w:hAnsi="Seaford" w:cstheme="minorHAnsi"/>
          <w:szCs w:val="22"/>
        </w:rPr>
        <w:t>Integrated partnerships between hospitals, doctors, and other caregive</w:t>
      </w:r>
      <w:r w:rsidR="00D125BE" w:rsidRPr="00023D49">
        <w:rPr>
          <w:rFonts w:ascii="Seaford" w:hAnsi="Seaford" w:cstheme="minorHAnsi"/>
          <w:szCs w:val="22"/>
        </w:rPr>
        <w:t>r</w:t>
      </w:r>
      <w:r w:rsidRPr="00023D49">
        <w:rPr>
          <w:rFonts w:ascii="Seaford" w:hAnsi="Seaford" w:cstheme="minorHAnsi"/>
          <w:szCs w:val="22"/>
        </w:rPr>
        <w:t xml:space="preserve">s make advanced services available </w:t>
      </w:r>
      <w:r w:rsidR="00D125BE" w:rsidRPr="00023D49">
        <w:rPr>
          <w:rFonts w:ascii="Seaford" w:hAnsi="Seaford" w:cstheme="minorHAnsi"/>
          <w:szCs w:val="22"/>
        </w:rPr>
        <w:t xml:space="preserve">closer to home </w:t>
      </w:r>
      <w:r w:rsidRPr="00023D49">
        <w:rPr>
          <w:rFonts w:ascii="Seaford" w:hAnsi="Seaford" w:cstheme="minorHAnsi"/>
          <w:szCs w:val="22"/>
        </w:rPr>
        <w:t>for patients who need specialized care, such as cancer treatment, rehab services, cardiac care, and organ transplants</w:t>
      </w:r>
      <w:r w:rsidR="00D125BE" w:rsidRPr="00023D49">
        <w:rPr>
          <w:rFonts w:ascii="Seaford" w:hAnsi="Seaford" w:cstheme="minorHAnsi"/>
          <w:szCs w:val="22"/>
        </w:rPr>
        <w:t>.</w:t>
      </w:r>
    </w:p>
    <w:p w14:paraId="4236792E" w14:textId="71D7A2BC" w:rsidR="00D55111" w:rsidRPr="00023D49" w:rsidRDefault="000E535E" w:rsidP="006C69E4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Fonts w:ascii="Seaford" w:hAnsi="Seaford" w:cstheme="minorHAnsi"/>
          <w:szCs w:val="22"/>
        </w:rPr>
      </w:pPr>
      <w:r>
        <w:rPr>
          <w:rFonts w:ascii="Seaford" w:hAnsi="Seaford" w:cstheme="minorHAnsi"/>
          <w:szCs w:val="22"/>
        </w:rPr>
        <w:t>Assembly Bill (</w:t>
      </w:r>
      <w:r w:rsidR="00D55111" w:rsidRPr="00023D49">
        <w:rPr>
          <w:rFonts w:ascii="Seaford" w:hAnsi="Seaford" w:cstheme="minorHAnsi"/>
          <w:szCs w:val="22"/>
        </w:rPr>
        <w:t>AB</w:t>
      </w:r>
      <w:r>
        <w:rPr>
          <w:rFonts w:ascii="Seaford" w:hAnsi="Seaford" w:cstheme="minorHAnsi"/>
          <w:szCs w:val="22"/>
        </w:rPr>
        <w:t>)</w:t>
      </w:r>
      <w:r w:rsidR="00D55111" w:rsidRPr="00023D49">
        <w:rPr>
          <w:rFonts w:ascii="Seaford" w:hAnsi="Seaford" w:cstheme="minorHAnsi"/>
          <w:szCs w:val="22"/>
        </w:rPr>
        <w:t xml:space="preserve"> 2080 would result in fragmented care, longer distances for patients to travel for care, higher costs for patients, and uncertainty for the state’s most financially vulnerable hospitals and providers. </w:t>
      </w:r>
    </w:p>
    <w:p w14:paraId="3ED3BD71" w14:textId="77777777" w:rsidR="00D55111" w:rsidRPr="00023D49" w:rsidRDefault="00D55111" w:rsidP="006C69E4">
      <w:pPr>
        <w:spacing w:after="120" w:line="276" w:lineRule="auto"/>
        <w:rPr>
          <w:rFonts w:ascii="Seaford" w:hAnsi="Seaford" w:cstheme="minorHAnsi"/>
          <w:b/>
          <w:bCs/>
        </w:rPr>
      </w:pPr>
      <w:r w:rsidRPr="00023D49">
        <w:rPr>
          <w:rFonts w:ascii="Seaford" w:hAnsi="Seaford" w:cstheme="minorHAnsi"/>
          <w:b/>
          <w:bCs/>
        </w:rPr>
        <w:t>AB 2080 would impose broad contract prohibitions that would disrupt countless relationships in the delivery of health care for all Californians.</w:t>
      </w:r>
    </w:p>
    <w:p w14:paraId="5C1768D2" w14:textId="04607E0C" w:rsidR="00D55111" w:rsidRPr="00023D49" w:rsidRDefault="00D55111" w:rsidP="006C69E4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rFonts w:ascii="Seaford" w:hAnsi="Seaford" w:cstheme="minorHAnsi"/>
          <w:szCs w:val="22"/>
        </w:rPr>
      </w:pPr>
      <w:r w:rsidRPr="00023D49">
        <w:rPr>
          <w:rFonts w:ascii="Seaford" w:hAnsi="Seaford" w:cstheme="minorHAnsi"/>
          <w:szCs w:val="22"/>
        </w:rPr>
        <w:t xml:space="preserve">The bill would result in fragmented care by outlawing contract terms that restrict plans from offering “incentives to encourage enrollees to utilize or avoid health care practitioners” </w:t>
      </w:r>
      <w:r w:rsidR="000E535E">
        <w:rPr>
          <w:rFonts w:ascii="Seaford" w:hAnsi="Seaford" w:cstheme="minorHAnsi"/>
          <w:szCs w:val="22"/>
        </w:rPr>
        <w:t>—</w:t>
      </w:r>
      <w:r w:rsidRPr="00023D49">
        <w:rPr>
          <w:rFonts w:ascii="Seaford" w:hAnsi="Seaford" w:cstheme="minorHAnsi"/>
          <w:szCs w:val="22"/>
        </w:rPr>
        <w:t xml:space="preserve"> which is the essence of a preferred provider arrangement. </w:t>
      </w:r>
    </w:p>
    <w:p w14:paraId="091D3927" w14:textId="77777777" w:rsidR="00D55111" w:rsidRPr="00023D49" w:rsidRDefault="00D55111" w:rsidP="006C69E4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rFonts w:ascii="Seaford" w:hAnsi="Seaford" w:cstheme="minorHAnsi"/>
          <w:szCs w:val="22"/>
        </w:rPr>
      </w:pPr>
      <w:r w:rsidRPr="00023D49">
        <w:rPr>
          <w:rFonts w:ascii="Seaford" w:hAnsi="Seaford" w:cstheme="minorHAnsi"/>
          <w:szCs w:val="22"/>
        </w:rPr>
        <w:t>In its current form, AB 2080 would unwind managed care in California, sending us backward into illness-oriented and siloed health care, and increasing health care costs throughout the state.</w:t>
      </w:r>
    </w:p>
    <w:p w14:paraId="4126401F" w14:textId="77777777" w:rsidR="00D55111" w:rsidRPr="00023D49" w:rsidRDefault="00D55111" w:rsidP="006C69E4">
      <w:pPr>
        <w:spacing w:after="120" w:line="276" w:lineRule="auto"/>
        <w:rPr>
          <w:rFonts w:ascii="Seaford" w:hAnsi="Seaford" w:cstheme="minorHAnsi"/>
          <w:b/>
          <w:bCs/>
        </w:rPr>
      </w:pPr>
      <w:r w:rsidRPr="00023D49">
        <w:rPr>
          <w:rFonts w:ascii="Seaford" w:hAnsi="Seaford" w:cstheme="minorHAnsi"/>
          <w:b/>
          <w:bCs/>
        </w:rPr>
        <w:t>AB 2080 would restrict the flexibility and resources health care providers need to continue to provide vital care to patients.</w:t>
      </w:r>
    </w:p>
    <w:p w14:paraId="7376AC84" w14:textId="77777777" w:rsidR="00D55111" w:rsidRPr="00023D49" w:rsidRDefault="00D55111" w:rsidP="006C69E4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Seaford" w:hAnsi="Seaford" w:cstheme="minorHAnsi"/>
          <w:szCs w:val="22"/>
        </w:rPr>
      </w:pPr>
      <w:r w:rsidRPr="00023D49">
        <w:rPr>
          <w:rFonts w:ascii="Seaford" w:hAnsi="Seaford" w:cstheme="minorHAnsi"/>
          <w:szCs w:val="22"/>
        </w:rPr>
        <w:t>This bill would prohibit physician groups, hospitals, payers, and other providers from partnering or integrating without prior permission from the attorney general.</w:t>
      </w:r>
    </w:p>
    <w:p w14:paraId="2AC53A31" w14:textId="77777777" w:rsidR="00D55111" w:rsidRPr="00023D49" w:rsidRDefault="00D55111" w:rsidP="006C69E4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Seaford" w:hAnsi="Seaford" w:cstheme="minorHAnsi"/>
          <w:szCs w:val="22"/>
        </w:rPr>
      </w:pPr>
      <w:r w:rsidRPr="00023D49">
        <w:rPr>
          <w:rFonts w:ascii="Seaford" w:hAnsi="Seaford" w:cstheme="minorHAnsi"/>
          <w:szCs w:val="22"/>
        </w:rPr>
        <w:t xml:space="preserve">It would create a massive expansion of authority for the attorney general to approve, deny, or impose any condition on just about every sale, transfer, merger, change in governance, or agreement over $5 million, making the office the sole arbiter of accessibility and availability of health care in California. </w:t>
      </w:r>
    </w:p>
    <w:p w14:paraId="65515490" w14:textId="472C4E36" w:rsidR="008A6C84" w:rsidRPr="000E535E" w:rsidRDefault="00D55111" w:rsidP="006C69E4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Seaford" w:hAnsi="Seaford"/>
        </w:rPr>
      </w:pPr>
      <w:r w:rsidRPr="000E535E">
        <w:rPr>
          <w:rFonts w:ascii="Seaford" w:hAnsi="Seaford" w:cstheme="minorHAnsi"/>
          <w:szCs w:val="22"/>
        </w:rPr>
        <w:t>The broad expansion of the attorney general’s authority into every health care sector is unnecessary given that existing law gives that office sweeping authority to investigate and prosecute anticompetitive behavior.</w:t>
      </w:r>
    </w:p>
    <w:sectPr w:rsidR="008A6C84" w:rsidRPr="000E535E" w:rsidSect="008A6C84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06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48BF" w14:textId="77777777" w:rsidR="000E535E" w:rsidRDefault="000E535E" w:rsidP="0088349A">
      <w:pPr>
        <w:spacing w:after="0" w:line="240" w:lineRule="auto"/>
      </w:pPr>
      <w:r>
        <w:separator/>
      </w:r>
    </w:p>
  </w:endnote>
  <w:endnote w:type="continuationSeparator" w:id="0">
    <w:p w14:paraId="37941B9F" w14:textId="77777777" w:rsidR="000E535E" w:rsidRDefault="000E535E" w:rsidP="008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A3DB" w14:textId="77777777" w:rsidR="00A96E3B" w:rsidRDefault="00A96E3B" w:rsidP="00A96E3B">
    <w:pPr>
      <w:pStyle w:val="Footer"/>
      <w:ind w:left="-720"/>
    </w:pPr>
    <w:r>
      <w:rPr>
        <w:noProof/>
      </w:rPr>
      <w:drawing>
        <wp:inline distT="0" distB="0" distL="0" distR="0" wp14:anchorId="6E105A58" wp14:editId="0466E326">
          <wp:extent cx="7790688" cy="941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CE04" w14:textId="77777777" w:rsidR="00A96E3B" w:rsidRDefault="00A96E3B" w:rsidP="00A96E3B">
    <w:pPr>
      <w:pStyle w:val="Footer"/>
      <w:ind w:left="-720"/>
    </w:pPr>
    <w:r>
      <w:rPr>
        <w:noProof/>
      </w:rPr>
      <w:drawing>
        <wp:inline distT="0" distB="0" distL="0" distR="0" wp14:anchorId="7A24E1F9" wp14:editId="73FDFDFF">
          <wp:extent cx="7789205" cy="941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05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ADE1" w14:textId="77777777" w:rsidR="0088349A" w:rsidRDefault="0088349A" w:rsidP="005E3F3A">
    <w:pPr>
      <w:pStyle w:val="Footer"/>
      <w:ind w:left="-720"/>
    </w:pPr>
    <w:r>
      <w:rPr>
        <w:noProof/>
      </w:rPr>
      <w:drawing>
        <wp:inline distT="0" distB="0" distL="0" distR="0" wp14:anchorId="6E5CC13F" wp14:editId="776E8ACA">
          <wp:extent cx="7789196" cy="941831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196" cy="94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F957" w14:textId="77777777" w:rsidR="000E535E" w:rsidRDefault="000E535E" w:rsidP="0088349A">
      <w:pPr>
        <w:spacing w:after="0" w:line="240" w:lineRule="auto"/>
      </w:pPr>
      <w:r>
        <w:separator/>
      </w:r>
    </w:p>
  </w:footnote>
  <w:footnote w:type="continuationSeparator" w:id="0">
    <w:p w14:paraId="1BE72E27" w14:textId="77777777" w:rsidR="000E535E" w:rsidRDefault="000E535E" w:rsidP="0088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DC4" w14:textId="77777777" w:rsidR="0088349A" w:rsidRDefault="0088349A" w:rsidP="005E3F3A">
    <w:pPr>
      <w:pStyle w:val="Header"/>
      <w:ind w:left="-720"/>
    </w:pPr>
    <w:r>
      <w:rPr>
        <w:noProof/>
      </w:rPr>
      <w:drawing>
        <wp:inline distT="0" distB="0" distL="0" distR="0" wp14:anchorId="7206193E" wp14:editId="6F03583B">
          <wp:extent cx="7772400" cy="1828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842"/>
    <w:multiLevelType w:val="hybridMultilevel"/>
    <w:tmpl w:val="847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7531"/>
    <w:multiLevelType w:val="hybridMultilevel"/>
    <w:tmpl w:val="AC1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0359"/>
    <w:multiLevelType w:val="hybridMultilevel"/>
    <w:tmpl w:val="17CC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57530"/>
    <w:multiLevelType w:val="hybridMultilevel"/>
    <w:tmpl w:val="033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0200"/>
    <w:multiLevelType w:val="hybridMultilevel"/>
    <w:tmpl w:val="A24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638042">
    <w:abstractNumId w:val="2"/>
  </w:num>
  <w:num w:numId="2" w16cid:durableId="1676108348">
    <w:abstractNumId w:val="3"/>
  </w:num>
  <w:num w:numId="3" w16cid:durableId="1919443718">
    <w:abstractNumId w:val="0"/>
  </w:num>
  <w:num w:numId="4" w16cid:durableId="370301690">
    <w:abstractNumId w:val="4"/>
  </w:num>
  <w:num w:numId="5" w16cid:durableId="164858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5E"/>
    <w:rsid w:val="00023D49"/>
    <w:rsid w:val="000A4BA4"/>
    <w:rsid w:val="000D0FC0"/>
    <w:rsid w:val="000E535E"/>
    <w:rsid w:val="00112791"/>
    <w:rsid w:val="00221B7F"/>
    <w:rsid w:val="002322CA"/>
    <w:rsid w:val="00253E4A"/>
    <w:rsid w:val="00261677"/>
    <w:rsid w:val="00264305"/>
    <w:rsid w:val="00283699"/>
    <w:rsid w:val="002A672F"/>
    <w:rsid w:val="002C26D4"/>
    <w:rsid w:val="00332EEC"/>
    <w:rsid w:val="00336219"/>
    <w:rsid w:val="0034702C"/>
    <w:rsid w:val="003B22D6"/>
    <w:rsid w:val="004C3C42"/>
    <w:rsid w:val="004E0B40"/>
    <w:rsid w:val="00525A2F"/>
    <w:rsid w:val="00526939"/>
    <w:rsid w:val="00565653"/>
    <w:rsid w:val="00597FEF"/>
    <w:rsid w:val="005E3F3A"/>
    <w:rsid w:val="006163A6"/>
    <w:rsid w:val="006562EB"/>
    <w:rsid w:val="006A2879"/>
    <w:rsid w:val="006B779D"/>
    <w:rsid w:val="006C69E4"/>
    <w:rsid w:val="00741199"/>
    <w:rsid w:val="00766C38"/>
    <w:rsid w:val="007725C5"/>
    <w:rsid w:val="007C152D"/>
    <w:rsid w:val="007E246D"/>
    <w:rsid w:val="0088349A"/>
    <w:rsid w:val="00886996"/>
    <w:rsid w:val="008A6C84"/>
    <w:rsid w:val="008C5EBF"/>
    <w:rsid w:val="008D6EE9"/>
    <w:rsid w:val="0091092B"/>
    <w:rsid w:val="00942F23"/>
    <w:rsid w:val="009E2A1B"/>
    <w:rsid w:val="00A96E3B"/>
    <w:rsid w:val="00AB1668"/>
    <w:rsid w:val="00AD1849"/>
    <w:rsid w:val="00AD3762"/>
    <w:rsid w:val="00AE30D4"/>
    <w:rsid w:val="00CF155F"/>
    <w:rsid w:val="00D07C6A"/>
    <w:rsid w:val="00D125BE"/>
    <w:rsid w:val="00D12859"/>
    <w:rsid w:val="00D23A2B"/>
    <w:rsid w:val="00D33D29"/>
    <w:rsid w:val="00D55111"/>
    <w:rsid w:val="00D74367"/>
    <w:rsid w:val="00D87E01"/>
    <w:rsid w:val="00D94072"/>
    <w:rsid w:val="00E85FC8"/>
    <w:rsid w:val="00E92A0E"/>
    <w:rsid w:val="00F046C2"/>
    <w:rsid w:val="00F6375F"/>
    <w:rsid w:val="00F93CB8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C4B0"/>
  <w15:chartTrackingRefBased/>
  <w15:docId w15:val="{87A0CE22-92C0-41C3-85F4-34FE128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5C5"/>
    <w:pPr>
      <w:spacing w:after="0" w:line="276" w:lineRule="auto"/>
      <w:outlineLvl w:val="0"/>
    </w:pPr>
    <w:rPr>
      <w:color w:val="0070C0"/>
      <w:sz w:val="27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5C5"/>
    <w:pPr>
      <w:keepNext/>
      <w:keepLines/>
      <w:spacing w:before="40" w:after="0" w:line="276" w:lineRule="auto"/>
      <w:ind w:right="360"/>
      <w:outlineLvl w:val="1"/>
    </w:pPr>
    <w:rPr>
      <w:rFonts w:eastAsiaTheme="majorEastAsia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25C5"/>
    <w:pPr>
      <w:autoSpaceDE w:val="0"/>
      <w:autoSpaceDN w:val="0"/>
      <w:adjustRightInd w:val="0"/>
      <w:spacing w:after="200" w:line="276" w:lineRule="auto"/>
      <w:ind w:right="360"/>
      <w:outlineLvl w:val="2"/>
    </w:pPr>
    <w:rPr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C5"/>
    <w:rPr>
      <w:color w:val="0070C0"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725C5"/>
    <w:rPr>
      <w:rFonts w:eastAsiaTheme="majorEastAs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5C5"/>
    <w:rPr>
      <w:i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8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9A"/>
  </w:style>
  <w:style w:type="paragraph" w:styleId="Footer">
    <w:name w:val="footer"/>
    <w:basedOn w:val="Normal"/>
    <w:link w:val="FooterChar"/>
    <w:uiPriority w:val="99"/>
    <w:unhideWhenUsed/>
    <w:rsid w:val="008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9A"/>
  </w:style>
  <w:style w:type="paragraph" w:styleId="BalloonText">
    <w:name w:val="Balloon Text"/>
    <w:basedOn w:val="Normal"/>
    <w:link w:val="BalloonTextChar"/>
    <w:uiPriority w:val="99"/>
    <w:semiHidden/>
    <w:unhideWhenUsed/>
    <w:rsid w:val="00347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E3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111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dley\Downloads\AB%202080%20Key%20Messages_Final%20Eyes%200408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1121c-cda9-4836-be94-b3e836ec7879" xsi:nil="true"/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Number xmlns="74f1bc41-95bc-426d-befc-d768ff8af8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04BF1-C4FA-49F4-A8C7-EF30FF274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F0DF2-EDA2-4044-BBD6-0976A40190A1}">
  <ds:schemaRefs>
    <ds:schemaRef ds:uri="http://schemas.microsoft.com/office/2006/metadata/properties"/>
    <ds:schemaRef ds:uri="http://schemas.microsoft.com/office/infopath/2007/PartnerControls"/>
    <ds:schemaRef ds:uri="eec1121c-cda9-4836-be94-b3e836ec7879"/>
    <ds:schemaRef ds:uri="74f1bc41-95bc-426d-befc-d768ff8af8f7"/>
  </ds:schemaRefs>
</ds:datastoreItem>
</file>

<file path=customXml/itemProps3.xml><?xml version="1.0" encoding="utf-8"?>
<ds:datastoreItem xmlns:ds="http://schemas.openxmlformats.org/officeDocument/2006/customXml" ds:itemID="{D7D0F36E-4B27-4B14-9370-081C45F8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2080 Key Messages_Final Eyes 040822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Allison Bradley</cp:lastModifiedBy>
  <cp:revision>1</cp:revision>
  <dcterms:created xsi:type="dcterms:W3CDTF">2022-05-11T22:22:00Z</dcterms:created>
  <dcterms:modified xsi:type="dcterms:W3CDTF">2022-05-11T22:25:00Z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</Properties>
</file>