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DD501" w14:textId="3DB53676" w:rsidR="00F52AA7" w:rsidRDefault="11424DCF" w:rsidP="11424DCF">
      <w:pPr>
        <w:spacing w:line="257" w:lineRule="auto"/>
        <w:jc w:val="center"/>
      </w:pPr>
      <w:r w:rsidRPr="11424DCF">
        <w:rPr>
          <w:rFonts w:ascii="Seaford" w:eastAsia="Seaford" w:hAnsi="Seaford" w:cs="Seaford"/>
          <w:color w:val="000000" w:themeColor="text1"/>
          <w:highlight w:val="yellow"/>
        </w:rPr>
        <w:t xml:space="preserve">TEMPLATE LETTER – Please place on hospital letterhead and add hospital-specific details </w:t>
      </w:r>
    </w:p>
    <w:p w14:paraId="335BF8B7" w14:textId="5BD5C6A0" w:rsidR="00F52AA7" w:rsidRDefault="11424DCF" w:rsidP="11424DCF">
      <w:pPr>
        <w:spacing w:line="257" w:lineRule="auto"/>
        <w:jc w:val="both"/>
      </w:pPr>
      <w:r w:rsidRPr="11424DCF">
        <w:rPr>
          <w:rFonts w:ascii="Seaford" w:eastAsia="Seaford" w:hAnsi="Seaford" w:cs="Seaford"/>
          <w:color w:val="000000" w:themeColor="text1"/>
        </w:rPr>
        <w:t xml:space="preserve"> </w:t>
      </w:r>
    </w:p>
    <w:p w14:paraId="17F9B07F" w14:textId="1BB41D76" w:rsidR="00F52AA7" w:rsidRDefault="11424DCF" w:rsidP="11424DCF">
      <w:pPr>
        <w:spacing w:line="257" w:lineRule="auto"/>
        <w:jc w:val="both"/>
      </w:pPr>
      <w:r w:rsidRPr="11424DCF">
        <w:rPr>
          <w:rFonts w:ascii="Seaford" w:eastAsia="Seaford" w:hAnsi="Seaford" w:cs="Seaford"/>
          <w:color w:val="000000" w:themeColor="text1"/>
        </w:rPr>
        <w:t xml:space="preserve"> </w:t>
      </w:r>
      <w:r w:rsidRPr="11424DCF">
        <w:rPr>
          <w:rFonts w:ascii="Seaford" w:eastAsia="Seaford" w:hAnsi="Seaford" w:cs="Seaford"/>
          <w:color w:val="000000" w:themeColor="text1"/>
          <w:highlight w:val="yellow"/>
        </w:rPr>
        <w:t>DATE</w:t>
      </w:r>
      <w:r w:rsidRPr="11424DCF">
        <w:rPr>
          <w:rFonts w:ascii="Seaford" w:eastAsia="Seaford" w:hAnsi="Seaford" w:cs="Seaford"/>
          <w:color w:val="000000" w:themeColor="text1"/>
        </w:rPr>
        <w:t>, 2022</w:t>
      </w:r>
    </w:p>
    <w:p w14:paraId="1699F139" w14:textId="657EA25F" w:rsidR="00F52AA7" w:rsidRDefault="00F52AA7" w:rsidP="11424DCF">
      <w:pPr>
        <w:spacing w:after="0"/>
        <w:rPr>
          <w:rFonts w:ascii="Seaford" w:eastAsia="Seaford" w:hAnsi="Seaford" w:cs="Seaford"/>
        </w:rPr>
      </w:pPr>
    </w:p>
    <w:p w14:paraId="12EF4348" w14:textId="34DA8626" w:rsidR="00F52AA7" w:rsidRDefault="11424DCF" w:rsidP="11424DCF">
      <w:pPr>
        <w:spacing w:after="0"/>
      </w:pPr>
      <w:r w:rsidRPr="11424DCF">
        <w:rPr>
          <w:rFonts w:ascii="Seaford" w:eastAsia="Seaford" w:hAnsi="Seaford" w:cs="Seaford"/>
        </w:rPr>
        <w:t>The Honorable Susan Talamantes Eggman</w:t>
      </w:r>
    </w:p>
    <w:p w14:paraId="1ADF7205" w14:textId="6BE4FDBF" w:rsidR="00F52AA7" w:rsidRDefault="11424DCF" w:rsidP="11424DCF">
      <w:pPr>
        <w:spacing w:after="0"/>
        <w:rPr>
          <w:rFonts w:ascii="Seaford" w:eastAsia="Seaford" w:hAnsi="Seaford" w:cs="Seaford"/>
        </w:rPr>
      </w:pPr>
      <w:r w:rsidRPr="11424DCF">
        <w:rPr>
          <w:rFonts w:ascii="Seaford" w:eastAsia="Seaford" w:hAnsi="Seaford" w:cs="Seaford"/>
        </w:rPr>
        <w:t xml:space="preserve">Chair, Senate Budget and Fiscal Review Committee, Subcommittee No. 3 on </w:t>
      </w:r>
      <w:proofErr w:type="gramStart"/>
      <w:r w:rsidRPr="11424DCF">
        <w:rPr>
          <w:rFonts w:ascii="Seaford" w:eastAsia="Seaford" w:hAnsi="Seaford" w:cs="Seaford"/>
        </w:rPr>
        <w:t>Health</w:t>
      </w:r>
      <w:proofErr w:type="gramEnd"/>
      <w:r w:rsidRPr="11424DCF">
        <w:rPr>
          <w:rFonts w:ascii="Seaford" w:eastAsia="Seaford" w:hAnsi="Seaford" w:cs="Seaford"/>
        </w:rPr>
        <w:t xml:space="preserve"> and Human Services</w:t>
      </w:r>
    </w:p>
    <w:p w14:paraId="0FB7F138" w14:textId="4F8A5A55" w:rsidR="00F52AA7" w:rsidRDefault="11424DCF" w:rsidP="11424DCF">
      <w:pPr>
        <w:spacing w:after="0" w:line="240" w:lineRule="auto"/>
      </w:pPr>
      <w:r w:rsidRPr="11424DCF">
        <w:rPr>
          <w:rFonts w:ascii="Seaford" w:eastAsia="Seaford" w:hAnsi="Seaford" w:cs="Seaford"/>
        </w:rPr>
        <w:t>1021 O St., Suite 8530</w:t>
      </w:r>
    </w:p>
    <w:p w14:paraId="1BF91127" w14:textId="1EDB4921" w:rsidR="00F52AA7" w:rsidRDefault="11424DCF" w:rsidP="11424DCF">
      <w:pPr>
        <w:spacing w:after="0" w:line="240" w:lineRule="auto"/>
      </w:pPr>
      <w:r w:rsidRPr="11424DCF">
        <w:rPr>
          <w:rFonts w:ascii="Seaford" w:eastAsia="Seaford" w:hAnsi="Seaford" w:cs="Seaford"/>
        </w:rPr>
        <w:t xml:space="preserve">Sacramento, CA 95814 </w:t>
      </w:r>
    </w:p>
    <w:p w14:paraId="22C5C9E8" w14:textId="54244FB2" w:rsidR="00F52AA7" w:rsidRDefault="11424DCF" w:rsidP="11424DCF">
      <w:pPr>
        <w:spacing w:after="0" w:line="240" w:lineRule="auto"/>
      </w:pPr>
      <w:r w:rsidRPr="11424DCF">
        <w:rPr>
          <w:rFonts w:ascii="Seaford" w:eastAsia="Seaford" w:hAnsi="Seaford" w:cs="Seaford"/>
        </w:rPr>
        <w:t xml:space="preserve"> </w:t>
      </w:r>
    </w:p>
    <w:p w14:paraId="4B4C0289" w14:textId="52671EF5" w:rsidR="00F52AA7" w:rsidRDefault="11424DCF" w:rsidP="11424DCF">
      <w:pPr>
        <w:spacing w:after="0" w:line="240" w:lineRule="auto"/>
      </w:pPr>
      <w:r w:rsidRPr="11424DCF">
        <w:rPr>
          <w:rFonts w:ascii="Seaford" w:eastAsia="Seaford" w:hAnsi="Seaford" w:cs="Seaford"/>
        </w:rPr>
        <w:t xml:space="preserve">The Honorable Joaquin Arambula, MD                                                          </w:t>
      </w:r>
    </w:p>
    <w:p w14:paraId="6DBA87A5" w14:textId="3B6E68A8" w:rsidR="00F52AA7" w:rsidRDefault="11424DCF" w:rsidP="11424DCF">
      <w:pPr>
        <w:spacing w:after="0" w:line="240" w:lineRule="auto"/>
      </w:pPr>
      <w:r w:rsidRPr="11424DCF">
        <w:rPr>
          <w:rFonts w:ascii="Seaford" w:eastAsia="Seaford" w:hAnsi="Seaford" w:cs="Seaford"/>
        </w:rPr>
        <w:t xml:space="preserve">Chair, Assembly Budget Committee, Subcommittee No. 1 on </w:t>
      </w:r>
      <w:proofErr w:type="gramStart"/>
      <w:r w:rsidRPr="11424DCF">
        <w:rPr>
          <w:rFonts w:ascii="Seaford" w:eastAsia="Seaford" w:hAnsi="Seaford" w:cs="Seaford"/>
        </w:rPr>
        <w:t>Health</w:t>
      </w:r>
      <w:proofErr w:type="gramEnd"/>
      <w:r w:rsidRPr="11424DCF">
        <w:rPr>
          <w:rFonts w:ascii="Seaford" w:eastAsia="Seaford" w:hAnsi="Seaford" w:cs="Seaford"/>
        </w:rPr>
        <w:t xml:space="preserve"> and Human Services</w:t>
      </w:r>
    </w:p>
    <w:p w14:paraId="2C49FC50" w14:textId="10E9CCEF" w:rsidR="00F52AA7" w:rsidRDefault="11424DCF" w:rsidP="11424DCF">
      <w:pPr>
        <w:spacing w:after="0" w:line="240" w:lineRule="auto"/>
      </w:pPr>
      <w:r w:rsidRPr="11424DCF">
        <w:rPr>
          <w:rFonts w:ascii="Seaford" w:eastAsia="Seaford" w:hAnsi="Seaford" w:cs="Seaford"/>
        </w:rPr>
        <w:t>1021 O St., Room 6240</w:t>
      </w:r>
    </w:p>
    <w:p w14:paraId="4B8A91D1" w14:textId="076ACCA9" w:rsidR="00F52AA7" w:rsidRDefault="11424DCF" w:rsidP="11424DCF">
      <w:pPr>
        <w:spacing w:after="0" w:line="240" w:lineRule="auto"/>
      </w:pPr>
      <w:r w:rsidRPr="11424DCF">
        <w:rPr>
          <w:rFonts w:ascii="Seaford" w:eastAsia="Seaford" w:hAnsi="Seaford" w:cs="Seaford"/>
        </w:rPr>
        <w:t xml:space="preserve">Sacramento, CA 95814 </w:t>
      </w:r>
    </w:p>
    <w:p w14:paraId="62DF9A45" w14:textId="51665881" w:rsidR="00F52AA7" w:rsidRDefault="11424DCF">
      <w:r w:rsidRPr="11424DCF">
        <w:rPr>
          <w:rFonts w:ascii="Seaford" w:eastAsia="Seaford" w:hAnsi="Seaford" w:cs="Seaford"/>
        </w:rPr>
        <w:t xml:space="preserve"> </w:t>
      </w:r>
    </w:p>
    <w:p w14:paraId="0724C930" w14:textId="73986E28" w:rsidR="00F52AA7" w:rsidRDefault="11424DCF" w:rsidP="11424DCF">
      <w:pPr>
        <w:spacing w:after="0"/>
      </w:pPr>
      <w:r w:rsidRPr="11424DCF">
        <w:rPr>
          <w:rFonts w:ascii="Seaford" w:eastAsia="Seaford" w:hAnsi="Seaford" w:cs="Seaford"/>
          <w:b/>
          <w:bCs/>
        </w:rPr>
        <w:t xml:space="preserve">SUBJECT: </w:t>
      </w:r>
      <w:r w:rsidR="002563A4">
        <w:tab/>
      </w:r>
      <w:r w:rsidRPr="11424DCF">
        <w:rPr>
          <w:rFonts w:ascii="Seaford" w:eastAsia="Seaford" w:hAnsi="Seaford" w:cs="Seaford"/>
          <w:b/>
          <w:bCs/>
        </w:rPr>
        <w:t xml:space="preserve">Governor’s Budget Proposal </w:t>
      </w:r>
      <w:r w:rsidR="008A1A3B">
        <w:rPr>
          <w:rFonts w:ascii="Seaford" w:eastAsia="Seaford" w:hAnsi="Seaford" w:cs="Seaford"/>
          <w:b/>
          <w:bCs/>
        </w:rPr>
        <w:t>on</w:t>
      </w:r>
      <w:r w:rsidR="008A1A3B" w:rsidRPr="11424DCF">
        <w:rPr>
          <w:rFonts w:ascii="Seaford" w:eastAsia="Seaford" w:hAnsi="Seaford" w:cs="Seaford"/>
          <w:b/>
          <w:bCs/>
        </w:rPr>
        <w:t xml:space="preserve"> </w:t>
      </w:r>
      <w:r w:rsidRPr="11424DCF">
        <w:rPr>
          <w:rFonts w:ascii="Seaford" w:eastAsia="Seaford" w:hAnsi="Seaford" w:cs="Seaford"/>
          <w:b/>
          <w:bCs/>
        </w:rPr>
        <w:t xml:space="preserve">Community Benefits </w:t>
      </w:r>
      <w:r w:rsidR="008A1A3B" w:rsidRPr="11424DCF">
        <w:rPr>
          <w:rFonts w:ascii="Seaford" w:eastAsia="Seaford" w:hAnsi="Seaford" w:cs="Seaford"/>
          <w:b/>
          <w:bCs/>
        </w:rPr>
        <w:t>—</w:t>
      </w:r>
      <w:r w:rsidR="008A1A3B">
        <w:rPr>
          <w:rFonts w:ascii="Seaford" w:eastAsia="Seaford" w:hAnsi="Seaford" w:cs="Seaford"/>
          <w:b/>
          <w:bCs/>
        </w:rPr>
        <w:t xml:space="preserve"> OPPOSE</w:t>
      </w:r>
    </w:p>
    <w:p w14:paraId="1F934751" w14:textId="6FB83061" w:rsidR="00F52AA7" w:rsidRDefault="00F52AA7" w:rsidP="11424DCF">
      <w:pPr>
        <w:rPr>
          <w:rFonts w:ascii="Seaford" w:eastAsia="Seaford" w:hAnsi="Seaford" w:cs="Seaford"/>
        </w:rPr>
      </w:pPr>
    </w:p>
    <w:p w14:paraId="3CC2355A" w14:textId="1BC7E19E" w:rsidR="00F52AA7" w:rsidRDefault="11424DCF" w:rsidP="11424DCF">
      <w:pPr>
        <w:spacing w:after="0"/>
      </w:pPr>
      <w:r w:rsidRPr="11424DCF">
        <w:rPr>
          <w:rFonts w:ascii="Seaford" w:eastAsia="Seaford" w:hAnsi="Seaford" w:cs="Seaford"/>
        </w:rPr>
        <w:t>Dear Senator Eggman and Assembly Member Arambula:</w:t>
      </w:r>
    </w:p>
    <w:p w14:paraId="65E9C128" w14:textId="38A18A45" w:rsidR="00F52AA7" w:rsidRDefault="00F52AA7" w:rsidP="11424DCF">
      <w:pPr>
        <w:rPr>
          <w:rFonts w:ascii="Seaford" w:eastAsia="Seaford" w:hAnsi="Seaford" w:cs="Seaford"/>
          <w:highlight w:val="yellow"/>
        </w:rPr>
      </w:pPr>
    </w:p>
    <w:p w14:paraId="21DA0B1E" w14:textId="217698BC" w:rsidR="00F52AA7" w:rsidRDefault="11424DCF">
      <w:r w:rsidRPr="11424DCF">
        <w:rPr>
          <w:rFonts w:ascii="Seaford" w:eastAsia="Seaford" w:hAnsi="Seaford" w:cs="Seaford"/>
          <w:highlight w:val="yellow"/>
        </w:rPr>
        <w:t>HOSPITAL NAME</w:t>
      </w:r>
      <w:r w:rsidRPr="11424DCF">
        <w:rPr>
          <w:rFonts w:ascii="Seaford" w:eastAsia="Seaford" w:hAnsi="Seaford" w:cs="Seaford"/>
        </w:rPr>
        <w:t xml:space="preserve"> has grave concerns about the governor’s budget proposal to require nonprofit hospitals to direct 25% of their community benefits dollars to community-based organizations that address the social determinants of health</w:t>
      </w:r>
      <w:r w:rsidR="00026C1C">
        <w:rPr>
          <w:rFonts w:ascii="Seaford" w:eastAsia="Seaford" w:hAnsi="Seaford" w:cs="Seaford"/>
        </w:rPr>
        <w:t xml:space="preserve">. That proposal also </w:t>
      </w:r>
      <w:r w:rsidRPr="11424DCF">
        <w:rPr>
          <w:rFonts w:ascii="Seaford" w:eastAsia="Seaford" w:hAnsi="Seaford" w:cs="Seaford"/>
        </w:rPr>
        <w:t>require</w:t>
      </w:r>
      <w:r w:rsidR="00026C1C">
        <w:rPr>
          <w:rFonts w:ascii="Seaford" w:eastAsia="Seaford" w:hAnsi="Seaford" w:cs="Seaford"/>
        </w:rPr>
        <w:t>s</w:t>
      </w:r>
      <w:r w:rsidRPr="11424DCF">
        <w:rPr>
          <w:rFonts w:ascii="Seaford" w:eastAsia="Seaford" w:hAnsi="Seaford" w:cs="Seaford"/>
        </w:rPr>
        <w:t xml:space="preserve"> hospitals to demonstrate how they are making investments in these </w:t>
      </w:r>
      <w:proofErr w:type="gramStart"/>
      <w:r w:rsidRPr="11424DCF">
        <w:rPr>
          <w:rFonts w:ascii="Seaford" w:eastAsia="Seaford" w:hAnsi="Seaford" w:cs="Seaford"/>
        </w:rPr>
        <w:t>efforts, and</w:t>
      </w:r>
      <w:proofErr w:type="gramEnd"/>
      <w:r w:rsidRPr="11424DCF">
        <w:rPr>
          <w:rFonts w:ascii="Seaford" w:eastAsia="Seaford" w:hAnsi="Seaford" w:cs="Seaford"/>
        </w:rPr>
        <w:t xml:space="preserve"> give</w:t>
      </w:r>
      <w:r w:rsidR="00026C1C">
        <w:rPr>
          <w:rFonts w:ascii="Seaford" w:eastAsia="Seaford" w:hAnsi="Seaford" w:cs="Seaford"/>
        </w:rPr>
        <w:t>s</w:t>
      </w:r>
      <w:r w:rsidRPr="11424DCF">
        <w:rPr>
          <w:rFonts w:ascii="Seaford" w:eastAsia="Seaford" w:hAnsi="Seaford" w:cs="Seaford"/>
        </w:rPr>
        <w:t xml:space="preserve"> the Department of Health Care Access and Information enforcement authority over these requirements.</w:t>
      </w:r>
    </w:p>
    <w:p w14:paraId="69D1338F" w14:textId="5801AED9" w:rsidR="00F52AA7" w:rsidRDefault="11424DCF">
      <w:r w:rsidRPr="0F362203">
        <w:rPr>
          <w:rFonts w:ascii="Seaford" w:eastAsia="Seaford" w:hAnsi="Seaford" w:cs="Seaford"/>
          <w:color w:val="000000" w:themeColor="text1"/>
        </w:rPr>
        <w:t xml:space="preserve">Setting a percentage for any type of activity not only predetermines how hospitals can spend their community benefits dollars but undermines the community health needs assessment (CHNA) </w:t>
      </w:r>
      <w:r w:rsidR="00E25D94">
        <w:rPr>
          <w:rFonts w:ascii="Seaford" w:eastAsia="Seaford" w:hAnsi="Seaford" w:cs="Seaford"/>
          <w:color w:val="000000" w:themeColor="text1"/>
        </w:rPr>
        <w:t xml:space="preserve">process </w:t>
      </w:r>
      <w:r w:rsidRPr="0F362203">
        <w:rPr>
          <w:rFonts w:ascii="Seaford" w:eastAsia="Seaford" w:hAnsi="Seaford" w:cs="Seaford"/>
          <w:color w:val="000000" w:themeColor="text1"/>
        </w:rPr>
        <w:t xml:space="preserve">required by both federal and state law. To comply, we must develop a process for consulting with community groups and local government officials to identify and prioritize community needs that our hospital can address directly, in collaboration with others, or through </w:t>
      </w:r>
      <w:r w:rsidR="0021122E">
        <w:rPr>
          <w:rFonts w:ascii="Seaford" w:eastAsia="Seaford" w:hAnsi="Seaford" w:cs="Seaford"/>
          <w:color w:val="000000" w:themeColor="text1"/>
        </w:rPr>
        <w:t>other organizational arrangements</w:t>
      </w:r>
      <w:r w:rsidRPr="0F362203">
        <w:rPr>
          <w:rFonts w:ascii="Seaford" w:eastAsia="Seaford" w:hAnsi="Seaford" w:cs="Seaford"/>
          <w:color w:val="000000" w:themeColor="text1"/>
        </w:rPr>
        <w:t xml:space="preserve">. </w:t>
      </w:r>
    </w:p>
    <w:p w14:paraId="6E919E34" w14:textId="614F1944" w:rsidR="00F52AA7" w:rsidRDefault="11424DCF">
      <w:r w:rsidRPr="0F362203">
        <w:rPr>
          <w:rFonts w:ascii="Seaford" w:eastAsia="Seaford" w:hAnsi="Seaford" w:cs="Seaford"/>
          <w:color w:val="000000" w:themeColor="text1"/>
        </w:rPr>
        <w:t xml:space="preserve">In our current CHNA, for example, the priority needs identified by our community were </w:t>
      </w:r>
      <w:r w:rsidRPr="0F362203">
        <w:rPr>
          <w:rFonts w:ascii="Seaford" w:eastAsia="Seaford" w:hAnsi="Seaford" w:cs="Seaford"/>
          <w:color w:val="000000" w:themeColor="text1"/>
          <w:highlight w:val="yellow"/>
        </w:rPr>
        <w:t>INSERT HERE</w:t>
      </w:r>
      <w:r w:rsidRPr="0F362203">
        <w:rPr>
          <w:rFonts w:ascii="Seaford" w:eastAsia="Seaford" w:hAnsi="Seaford" w:cs="Seaford"/>
          <w:color w:val="000000" w:themeColor="text1"/>
        </w:rPr>
        <w:t>.</w:t>
      </w:r>
      <w:r w:rsidRPr="0F362203">
        <w:rPr>
          <w:rFonts w:ascii="Seaford" w:eastAsia="Seaford" w:hAnsi="Seaford" w:cs="Seaford"/>
          <w:b/>
          <w:bCs/>
          <w:color w:val="000000" w:themeColor="text1"/>
        </w:rPr>
        <w:t xml:space="preserve"> </w:t>
      </w:r>
      <w:r w:rsidRPr="0F362203">
        <w:rPr>
          <w:rFonts w:ascii="Seaford" w:eastAsia="Seaford" w:hAnsi="Seaford" w:cs="Seaford"/>
          <w:color w:val="000000" w:themeColor="text1"/>
        </w:rPr>
        <w:t>Establishing a benchmark for a specific set of activities</w:t>
      </w:r>
      <w:r w:rsidR="008A1A3B">
        <w:rPr>
          <w:rFonts w:ascii="Seaford" w:eastAsia="Seaford" w:hAnsi="Seaford" w:cs="Seaford"/>
          <w:color w:val="000000" w:themeColor="text1"/>
        </w:rPr>
        <w:t xml:space="preserve">, as this proposal would do, </w:t>
      </w:r>
      <w:r w:rsidR="00BA0C6C">
        <w:rPr>
          <w:rFonts w:ascii="Seaford" w:eastAsia="Seaford" w:hAnsi="Seaford" w:cs="Seaford"/>
          <w:color w:val="000000" w:themeColor="text1"/>
        </w:rPr>
        <w:t xml:space="preserve">could either </w:t>
      </w:r>
      <w:r w:rsidRPr="0F362203">
        <w:rPr>
          <w:rFonts w:ascii="Seaford" w:eastAsia="Seaford" w:hAnsi="Seaford" w:cs="Seaford"/>
          <w:color w:val="000000" w:themeColor="text1"/>
        </w:rPr>
        <w:t>contradict th</w:t>
      </w:r>
      <w:r w:rsidR="00026C1C">
        <w:rPr>
          <w:rFonts w:ascii="Seaford" w:eastAsia="Seaford" w:hAnsi="Seaford" w:cs="Seaford"/>
          <w:color w:val="000000" w:themeColor="text1"/>
        </w:rPr>
        <w:t>ose</w:t>
      </w:r>
      <w:r w:rsidRPr="0F362203">
        <w:rPr>
          <w:rFonts w:ascii="Seaford" w:eastAsia="Seaford" w:hAnsi="Seaford" w:cs="Seaford"/>
          <w:color w:val="000000" w:themeColor="text1"/>
        </w:rPr>
        <w:t xml:space="preserve"> findings </w:t>
      </w:r>
      <w:r w:rsidR="00BA0C6C">
        <w:rPr>
          <w:rFonts w:ascii="Seaford" w:eastAsia="Seaford" w:hAnsi="Seaford" w:cs="Seaford"/>
          <w:color w:val="000000" w:themeColor="text1"/>
        </w:rPr>
        <w:t xml:space="preserve">or </w:t>
      </w:r>
      <w:r w:rsidR="00026C1C">
        <w:rPr>
          <w:rFonts w:ascii="Seaford" w:eastAsia="Seaford" w:hAnsi="Seaford" w:cs="Seaford"/>
          <w:color w:val="000000" w:themeColor="text1"/>
        </w:rPr>
        <w:t>ignore our community’s</w:t>
      </w:r>
      <w:r w:rsidRPr="0F362203">
        <w:rPr>
          <w:rFonts w:ascii="Seaford" w:eastAsia="Seaford" w:hAnsi="Seaford" w:cs="Seaford"/>
          <w:color w:val="000000" w:themeColor="text1"/>
        </w:rPr>
        <w:t xml:space="preserve"> </w:t>
      </w:r>
      <w:r w:rsidR="00026C1C">
        <w:rPr>
          <w:rFonts w:ascii="Seaford" w:eastAsia="Seaford" w:hAnsi="Seaford" w:cs="Seaford"/>
          <w:color w:val="000000" w:themeColor="text1"/>
        </w:rPr>
        <w:t xml:space="preserve">clearly identified </w:t>
      </w:r>
      <w:r w:rsidR="008A1A3B">
        <w:rPr>
          <w:rFonts w:ascii="Seaford" w:eastAsia="Seaford" w:hAnsi="Seaford" w:cs="Seaford"/>
          <w:color w:val="000000" w:themeColor="text1"/>
        </w:rPr>
        <w:t xml:space="preserve">health </w:t>
      </w:r>
      <w:r w:rsidR="00254ECA">
        <w:rPr>
          <w:rFonts w:ascii="Seaford" w:eastAsia="Seaford" w:hAnsi="Seaford" w:cs="Seaford"/>
          <w:color w:val="000000" w:themeColor="text1"/>
        </w:rPr>
        <w:t>care-related</w:t>
      </w:r>
      <w:r w:rsidR="00BA0C6C">
        <w:rPr>
          <w:rFonts w:ascii="Seaford" w:eastAsia="Seaford" w:hAnsi="Seaford" w:cs="Seaford"/>
          <w:color w:val="000000" w:themeColor="text1"/>
        </w:rPr>
        <w:t xml:space="preserve"> </w:t>
      </w:r>
      <w:r w:rsidR="008A1A3B">
        <w:rPr>
          <w:rFonts w:ascii="Seaford" w:eastAsia="Seaford" w:hAnsi="Seaford" w:cs="Seaford"/>
          <w:color w:val="000000" w:themeColor="text1"/>
        </w:rPr>
        <w:t>needs</w:t>
      </w:r>
      <w:r w:rsidRPr="0F362203">
        <w:rPr>
          <w:rFonts w:ascii="Seaford" w:eastAsia="Seaford" w:hAnsi="Seaford" w:cs="Seaford"/>
          <w:color w:val="000000" w:themeColor="text1"/>
        </w:rPr>
        <w:t xml:space="preserve">. </w:t>
      </w:r>
    </w:p>
    <w:p w14:paraId="6E47B545" w14:textId="7D62B047" w:rsidR="00F52AA7" w:rsidRDefault="11424DCF" w:rsidP="11424DCF">
      <w:pPr>
        <w:rPr>
          <w:rFonts w:ascii="Seaford" w:eastAsia="Seaford" w:hAnsi="Seaford" w:cs="Seaford"/>
        </w:rPr>
      </w:pPr>
      <w:r w:rsidRPr="11424DCF">
        <w:rPr>
          <w:rFonts w:ascii="Seaford" w:eastAsia="Seaford" w:hAnsi="Seaford" w:cs="Seaford"/>
          <w:highlight w:val="yellow"/>
        </w:rPr>
        <w:t>HOSPITAL NAM</w:t>
      </w:r>
      <w:r w:rsidRPr="00552150">
        <w:rPr>
          <w:rFonts w:ascii="Seaford" w:eastAsia="Seaford" w:hAnsi="Seaford" w:cs="Seaford"/>
          <w:highlight w:val="yellow"/>
        </w:rPr>
        <w:t>E</w:t>
      </w:r>
      <w:r w:rsidR="001815F8" w:rsidRPr="00552150">
        <w:rPr>
          <w:rFonts w:ascii="Seaford" w:eastAsia="Seaford" w:hAnsi="Seaford" w:cs="Seaford"/>
          <w:highlight w:val="yellow"/>
        </w:rPr>
        <w:t>’s</w:t>
      </w:r>
      <w:r w:rsidR="001815F8">
        <w:rPr>
          <w:rFonts w:ascii="Seaford" w:eastAsia="Seaford" w:hAnsi="Seaford" w:cs="Seaford"/>
        </w:rPr>
        <w:t xml:space="preserve"> community benefits programs are tailored to the needs of the Californians we serve</w:t>
      </w:r>
      <w:r w:rsidRPr="11424DCF">
        <w:rPr>
          <w:rFonts w:ascii="Seaford" w:eastAsia="Seaford" w:hAnsi="Seaford" w:cs="Seaford"/>
        </w:rPr>
        <w:t xml:space="preserve"> </w:t>
      </w:r>
      <w:r w:rsidR="001815F8">
        <w:rPr>
          <w:rFonts w:ascii="Seaford" w:eastAsia="Seaford" w:hAnsi="Seaford" w:cs="Seaford"/>
        </w:rPr>
        <w:t xml:space="preserve">with the </w:t>
      </w:r>
      <w:proofErr w:type="gramStart"/>
      <w:r w:rsidR="001815F8">
        <w:rPr>
          <w:rFonts w:ascii="Seaford" w:eastAsia="Seaford" w:hAnsi="Seaford" w:cs="Seaford"/>
        </w:rPr>
        <w:t>ultimate goal</w:t>
      </w:r>
      <w:proofErr w:type="gramEnd"/>
      <w:r w:rsidR="001815F8">
        <w:rPr>
          <w:rFonts w:ascii="Seaford" w:eastAsia="Seaford" w:hAnsi="Seaford" w:cs="Seaford"/>
        </w:rPr>
        <w:t xml:space="preserve"> of</w:t>
      </w:r>
      <w:r w:rsidRPr="11424DCF">
        <w:rPr>
          <w:rFonts w:ascii="Seaford" w:eastAsia="Seaford" w:hAnsi="Seaford" w:cs="Seaford"/>
        </w:rPr>
        <w:t xml:space="preserve"> improving the </w:t>
      </w:r>
      <w:r w:rsidR="001815F8">
        <w:rPr>
          <w:rFonts w:ascii="Seaford" w:eastAsia="Seaford" w:hAnsi="Seaford" w:cs="Seaford"/>
        </w:rPr>
        <w:t xml:space="preserve">overall </w:t>
      </w:r>
      <w:r w:rsidRPr="11424DCF">
        <w:rPr>
          <w:rFonts w:ascii="Seaford" w:eastAsia="Seaford" w:hAnsi="Seaford" w:cs="Seaford"/>
        </w:rPr>
        <w:t xml:space="preserve">health and well-being </w:t>
      </w:r>
      <w:r w:rsidR="001815F8">
        <w:rPr>
          <w:rFonts w:ascii="Seaford" w:eastAsia="Seaford" w:hAnsi="Seaford" w:cs="Seaford"/>
        </w:rPr>
        <w:t xml:space="preserve">within </w:t>
      </w:r>
      <w:r w:rsidR="001815F8" w:rsidRPr="006241B4">
        <w:rPr>
          <w:rFonts w:ascii="Seaford" w:eastAsia="Seaford" w:hAnsi="Seaford" w:cs="Seaford"/>
          <w:highlight w:val="yellow"/>
        </w:rPr>
        <w:t>CITY OR COUNTY NAME</w:t>
      </w:r>
      <w:r w:rsidRPr="11424DCF">
        <w:rPr>
          <w:rFonts w:ascii="Seaford" w:eastAsia="Seaford" w:hAnsi="Seaford" w:cs="Seaford"/>
        </w:rPr>
        <w:t>. Sample projects include:</w:t>
      </w:r>
    </w:p>
    <w:p w14:paraId="1D771F43" w14:textId="66A305A4" w:rsidR="00F52AA7" w:rsidRDefault="11424DCF" w:rsidP="11424DCF">
      <w:pPr>
        <w:pStyle w:val="ListParagraph"/>
        <w:numPr>
          <w:ilvl w:val="0"/>
          <w:numId w:val="3"/>
        </w:numPr>
        <w:rPr>
          <w:rFonts w:eastAsiaTheme="minorEastAsia"/>
          <w:b/>
          <w:bCs/>
          <w:highlight w:val="yellow"/>
        </w:rPr>
      </w:pPr>
      <w:r w:rsidRPr="11424DCF">
        <w:rPr>
          <w:rFonts w:ascii="Seaford" w:eastAsia="Seaford" w:hAnsi="Seaford" w:cs="Seaford"/>
          <w:highlight w:val="yellow"/>
        </w:rPr>
        <w:t>INSERT PROJECTS/FUNDING HERE</w:t>
      </w:r>
    </w:p>
    <w:p w14:paraId="03A0CAC1" w14:textId="1A24031B" w:rsidR="00F52AA7" w:rsidRDefault="11424DCF">
      <w:r w:rsidRPr="11424DCF">
        <w:rPr>
          <w:rFonts w:ascii="Seaford" w:eastAsia="Seaford" w:hAnsi="Seaford" w:cs="Seaford"/>
        </w:rPr>
        <w:lastRenderedPageBreak/>
        <w:t xml:space="preserve">However, the governor’s proposal threatens to undo much of that good work, particularly our efforts to </w:t>
      </w:r>
      <w:r w:rsidR="008A1A3B">
        <w:rPr>
          <w:rFonts w:ascii="Seaford" w:eastAsia="Seaford" w:hAnsi="Seaford" w:cs="Seaford"/>
        </w:rPr>
        <w:t>make real progress toward</w:t>
      </w:r>
      <w:r w:rsidR="008A1A3B" w:rsidRPr="11424DCF">
        <w:rPr>
          <w:rFonts w:ascii="Seaford" w:eastAsia="Seaford" w:hAnsi="Seaford" w:cs="Seaford"/>
        </w:rPr>
        <w:t xml:space="preserve"> </w:t>
      </w:r>
      <w:r w:rsidR="00BA0C6C">
        <w:rPr>
          <w:rFonts w:ascii="Seaford" w:eastAsia="Seaford" w:hAnsi="Seaford" w:cs="Seaford"/>
        </w:rPr>
        <w:t xml:space="preserve">improving </w:t>
      </w:r>
      <w:r w:rsidRPr="11424DCF">
        <w:rPr>
          <w:rFonts w:ascii="Seaford" w:eastAsia="Seaford" w:hAnsi="Seaford" w:cs="Seaford"/>
        </w:rPr>
        <w:t xml:space="preserve">health </w:t>
      </w:r>
      <w:r w:rsidR="00552150">
        <w:rPr>
          <w:rFonts w:ascii="Seaford" w:eastAsia="Seaford" w:hAnsi="Seaford" w:cs="Seaford"/>
        </w:rPr>
        <w:t>care-related</w:t>
      </w:r>
      <w:r w:rsidR="00BA0C6C">
        <w:rPr>
          <w:rFonts w:ascii="Seaford" w:eastAsia="Seaford" w:hAnsi="Seaford" w:cs="Seaford"/>
        </w:rPr>
        <w:t xml:space="preserve"> </w:t>
      </w:r>
      <w:r w:rsidRPr="11424DCF">
        <w:rPr>
          <w:rFonts w:ascii="Seaford" w:eastAsia="Seaford" w:hAnsi="Seaford" w:cs="Seaford"/>
        </w:rPr>
        <w:t>outcomes in our communities.</w:t>
      </w:r>
    </w:p>
    <w:p w14:paraId="2396FD7D" w14:textId="702E04FC" w:rsidR="00F52AA7" w:rsidRDefault="11424DCF" w:rsidP="11424DCF">
      <w:r w:rsidRPr="11424DCF">
        <w:rPr>
          <w:rFonts w:ascii="Seaford" w:eastAsia="Seaford" w:hAnsi="Seaford" w:cs="Seaford"/>
        </w:rPr>
        <w:t>In addition</w:t>
      </w:r>
      <w:r w:rsidR="008A1A3B">
        <w:rPr>
          <w:rFonts w:ascii="Seaford" w:eastAsia="Seaford" w:hAnsi="Seaford" w:cs="Seaford"/>
        </w:rPr>
        <w:t>, it is imperative that we have</w:t>
      </w:r>
      <w:r w:rsidRPr="11424DCF">
        <w:rPr>
          <w:rFonts w:ascii="Seaford" w:eastAsia="Seaford" w:hAnsi="Seaford" w:cs="Seaford"/>
        </w:rPr>
        <w:t xml:space="preserve"> </w:t>
      </w:r>
      <w:r w:rsidR="00E676C6">
        <w:rPr>
          <w:rFonts w:ascii="Seaford" w:eastAsia="Seaford" w:hAnsi="Seaford" w:cs="Seaford"/>
        </w:rPr>
        <w:t xml:space="preserve">the </w:t>
      </w:r>
      <w:r w:rsidRPr="11424DCF">
        <w:rPr>
          <w:rFonts w:ascii="Seaford" w:eastAsia="Seaford" w:hAnsi="Seaford" w:cs="Seaford"/>
        </w:rPr>
        <w:t xml:space="preserve">flexibility to respond to ongoing and emergent needs. The shifts that we have made to care for our patients and communities throughout the pandemic are proof-positive. The pandemic and all the unexpected changes it brought with it required us to alter our community benefits programs. For instance, </w:t>
      </w:r>
      <w:r w:rsidRPr="11424DCF">
        <w:rPr>
          <w:rFonts w:ascii="Seaford" w:eastAsia="Seaford" w:hAnsi="Seaford" w:cs="Seaford"/>
          <w:highlight w:val="yellow"/>
        </w:rPr>
        <w:t>HOSPITAL NAME</w:t>
      </w:r>
      <w:r w:rsidR="00E676C6">
        <w:rPr>
          <w:rFonts w:ascii="Seaford" w:eastAsia="Seaford" w:hAnsi="Seaford" w:cs="Seaford"/>
        </w:rPr>
        <w:t xml:space="preserve"> has:</w:t>
      </w:r>
      <w:r w:rsidRPr="11424DCF">
        <w:rPr>
          <w:rFonts w:ascii="Seaford" w:eastAsia="Seaford" w:hAnsi="Seaford" w:cs="Seaford"/>
        </w:rPr>
        <w:t xml:space="preserve">  </w:t>
      </w:r>
    </w:p>
    <w:p w14:paraId="2F7F570B" w14:textId="6107C8FC" w:rsidR="00F52AA7" w:rsidRDefault="11424DCF" w:rsidP="11424DCF">
      <w:pPr>
        <w:rPr>
          <w:rFonts w:ascii="Seaford" w:eastAsia="Seaford" w:hAnsi="Seaford" w:cs="Seaford"/>
          <w:highlight w:val="yellow"/>
        </w:rPr>
      </w:pPr>
      <w:r w:rsidRPr="11424DCF">
        <w:rPr>
          <w:rFonts w:ascii="Seaford" w:eastAsia="Seaford" w:hAnsi="Seaford" w:cs="Seaford"/>
          <w:highlight w:val="yellow"/>
        </w:rPr>
        <w:t xml:space="preserve">(LIST EXAMPLES – HERE ARE SOME </w:t>
      </w:r>
      <w:r w:rsidR="00E07C86">
        <w:rPr>
          <w:rFonts w:ascii="Seaford" w:eastAsia="Seaford" w:hAnsi="Seaford" w:cs="Seaford"/>
          <w:highlight w:val="yellow"/>
        </w:rPr>
        <w:t>SUGGESTIONS</w:t>
      </w:r>
      <w:r w:rsidRPr="11424DCF">
        <w:rPr>
          <w:rFonts w:ascii="Seaford" w:eastAsia="Seaford" w:hAnsi="Seaford" w:cs="Seaford"/>
          <w:highlight w:val="yellow"/>
        </w:rPr>
        <w:t xml:space="preserve">) </w:t>
      </w:r>
    </w:p>
    <w:p w14:paraId="3190BCC0" w14:textId="47B45B08" w:rsidR="00F52AA7" w:rsidRDefault="11424DCF" w:rsidP="11424DCF">
      <w:pPr>
        <w:pStyle w:val="ListParagraph"/>
        <w:numPr>
          <w:ilvl w:val="0"/>
          <w:numId w:val="1"/>
        </w:numPr>
        <w:spacing w:after="0"/>
        <w:rPr>
          <w:rFonts w:eastAsiaTheme="minorEastAsia"/>
          <w:highlight w:val="yellow"/>
        </w:rPr>
      </w:pPr>
      <w:r w:rsidRPr="11424DCF">
        <w:rPr>
          <w:rFonts w:ascii="Seaford" w:eastAsia="Seaford" w:hAnsi="Seaford" w:cs="Seaford"/>
          <w:highlight w:val="yellow"/>
        </w:rPr>
        <w:t>Expanded partnerships with food banks</w:t>
      </w:r>
    </w:p>
    <w:p w14:paraId="688969BD" w14:textId="2ADE7D68" w:rsidR="00F52AA7" w:rsidRDefault="11424DCF" w:rsidP="11424DCF">
      <w:pPr>
        <w:pStyle w:val="ListParagraph"/>
        <w:numPr>
          <w:ilvl w:val="0"/>
          <w:numId w:val="1"/>
        </w:numPr>
        <w:spacing w:after="0"/>
        <w:rPr>
          <w:rFonts w:eastAsiaTheme="minorEastAsia"/>
          <w:highlight w:val="yellow"/>
        </w:rPr>
      </w:pPr>
      <w:r w:rsidRPr="11424DCF">
        <w:rPr>
          <w:rFonts w:ascii="Seaford" w:eastAsia="Seaford" w:hAnsi="Seaford" w:cs="Seaford"/>
          <w:highlight w:val="yellow"/>
        </w:rPr>
        <w:t>Enhanced mobile health care services</w:t>
      </w:r>
    </w:p>
    <w:p w14:paraId="454F6017" w14:textId="711C7C33" w:rsidR="00F52AA7" w:rsidRDefault="11424DCF" w:rsidP="11424DCF">
      <w:pPr>
        <w:pStyle w:val="ListParagraph"/>
        <w:numPr>
          <w:ilvl w:val="0"/>
          <w:numId w:val="1"/>
        </w:numPr>
        <w:spacing w:after="0"/>
        <w:rPr>
          <w:rFonts w:eastAsiaTheme="minorEastAsia"/>
          <w:highlight w:val="yellow"/>
        </w:rPr>
      </w:pPr>
      <w:r w:rsidRPr="11424DCF">
        <w:rPr>
          <w:rFonts w:ascii="Seaford" w:eastAsia="Seaford" w:hAnsi="Seaford" w:cs="Seaford"/>
          <w:highlight w:val="yellow"/>
        </w:rPr>
        <w:t>Partnered with churches, community-based organizations, and others to set up testing and vaccination sites</w:t>
      </w:r>
    </w:p>
    <w:p w14:paraId="4347CBF5" w14:textId="237E70A7" w:rsidR="00F52AA7" w:rsidRDefault="11424DCF" w:rsidP="11424DCF">
      <w:pPr>
        <w:pStyle w:val="ListParagraph"/>
        <w:numPr>
          <w:ilvl w:val="0"/>
          <w:numId w:val="1"/>
        </w:numPr>
        <w:spacing w:after="0"/>
        <w:rPr>
          <w:rFonts w:eastAsiaTheme="minorEastAsia"/>
        </w:rPr>
      </w:pPr>
      <w:r w:rsidRPr="11424DCF">
        <w:rPr>
          <w:rFonts w:ascii="Seaford" w:eastAsia="Seaford" w:hAnsi="Seaford" w:cs="Seaford"/>
          <w:highlight w:val="yellow"/>
        </w:rPr>
        <w:t>Donated personal protective equipment that enabled these crucial entities to continue serving vulnerable communities</w:t>
      </w:r>
      <w:r w:rsidRPr="11424DCF">
        <w:rPr>
          <w:rFonts w:ascii="Seaford" w:eastAsia="Seaford" w:hAnsi="Seaford" w:cs="Seaford"/>
        </w:rPr>
        <w:t xml:space="preserve"> </w:t>
      </w:r>
    </w:p>
    <w:p w14:paraId="788A4F4A" w14:textId="21C8B3DE" w:rsidR="00F52AA7" w:rsidRDefault="00F52AA7" w:rsidP="11424DCF">
      <w:pPr>
        <w:spacing w:after="0"/>
        <w:rPr>
          <w:rFonts w:ascii="Seaford" w:eastAsia="Seaford" w:hAnsi="Seaford" w:cs="Seaford"/>
        </w:rPr>
      </w:pPr>
    </w:p>
    <w:p w14:paraId="2D80E34B" w14:textId="6172B9D0" w:rsidR="00F52AA7" w:rsidRDefault="11424DCF" w:rsidP="11424DCF">
      <w:r w:rsidRPr="11424DCF">
        <w:rPr>
          <w:rFonts w:ascii="Seaford" w:eastAsia="Seaford" w:hAnsi="Seaford" w:cs="Seaford"/>
        </w:rPr>
        <w:t>Setting a specific benchmark fails to account for the nimbleness required of hospitals and places undue strain on resources that are already stretched thin.</w:t>
      </w:r>
    </w:p>
    <w:p w14:paraId="34619D83" w14:textId="5FAA6CA9" w:rsidR="00F52AA7" w:rsidRDefault="11424DCF" w:rsidP="11424DCF">
      <w:pPr>
        <w:spacing w:after="0"/>
        <w:rPr>
          <w:rFonts w:ascii="Seaford" w:eastAsia="Seaford" w:hAnsi="Seaford" w:cs="Seaford"/>
          <w:highlight w:val="yellow"/>
        </w:rPr>
      </w:pPr>
      <w:r w:rsidRPr="11424DCF">
        <w:rPr>
          <w:rFonts w:ascii="Seaford" w:eastAsia="Seaford" w:hAnsi="Seaford" w:cs="Seaford"/>
          <w:highlight w:val="yellow"/>
        </w:rPr>
        <w:t>IF APPLICABLE TO YOUR HOSPITAL OR HEALTH SYSTEM</w:t>
      </w:r>
    </w:p>
    <w:p w14:paraId="27D69703" w14:textId="31069FAE" w:rsidR="00F52AA7" w:rsidRDefault="11424DCF" w:rsidP="11424DCF">
      <w:pPr>
        <w:rPr>
          <w:rFonts w:ascii="Seaford" w:eastAsia="Seaford" w:hAnsi="Seaford" w:cs="Seaford"/>
          <w:highlight w:val="yellow"/>
        </w:rPr>
      </w:pPr>
      <w:r w:rsidRPr="11424DCF">
        <w:rPr>
          <w:rFonts w:ascii="Seaford" w:eastAsia="Seaford" w:hAnsi="Seaford" w:cs="Seaford"/>
          <w:highlight w:val="yellow"/>
        </w:rPr>
        <w:t>Reporting of community benefits investments is hospital-specific, which means that it excludes any donations by other parts of our health system. For example, our medical group/health plan/corporate office make</w:t>
      </w:r>
      <w:r w:rsidR="00B46204">
        <w:rPr>
          <w:rFonts w:ascii="Seaford" w:eastAsia="Seaford" w:hAnsi="Seaford" w:cs="Seaford"/>
          <w:highlight w:val="yellow"/>
        </w:rPr>
        <w:t>s</w:t>
      </w:r>
      <w:r w:rsidRPr="11424DCF">
        <w:rPr>
          <w:rFonts w:ascii="Seaford" w:eastAsia="Seaford" w:hAnsi="Seaford" w:cs="Seaford"/>
          <w:highlight w:val="yellow"/>
        </w:rPr>
        <w:t xml:space="preserve"> ongoing investments in our communities such as </w:t>
      </w:r>
      <w:r w:rsidRPr="11424DCF">
        <w:rPr>
          <w:rFonts w:ascii="Seaford" w:eastAsia="Seaford" w:hAnsi="Seaford" w:cs="Seaford"/>
          <w:b/>
          <w:bCs/>
          <w:highlight w:val="yellow"/>
        </w:rPr>
        <w:t>(INSERT SPECIFIC EXAMPLE)</w:t>
      </w:r>
      <w:r w:rsidR="00B46204">
        <w:rPr>
          <w:rFonts w:ascii="Seaford" w:eastAsia="Seaford" w:hAnsi="Seaford" w:cs="Seaford"/>
          <w:highlight w:val="yellow"/>
        </w:rPr>
        <w:t>. H</w:t>
      </w:r>
      <w:r w:rsidRPr="11424DCF">
        <w:rPr>
          <w:rFonts w:ascii="Seaford" w:eastAsia="Seaford" w:hAnsi="Seaford" w:cs="Seaford"/>
          <w:highlight w:val="yellow"/>
        </w:rPr>
        <w:t xml:space="preserve">owever, since community benefits only </w:t>
      </w:r>
      <w:r w:rsidR="00564D98">
        <w:rPr>
          <w:rFonts w:ascii="Seaford" w:eastAsia="Seaford" w:hAnsi="Seaford" w:cs="Seaford"/>
          <w:highlight w:val="yellow"/>
        </w:rPr>
        <w:t>capture</w:t>
      </w:r>
      <w:r w:rsidRPr="11424DCF">
        <w:rPr>
          <w:rFonts w:ascii="Seaford" w:eastAsia="Seaford" w:hAnsi="Seaford" w:cs="Seaford"/>
          <w:highlight w:val="yellow"/>
        </w:rPr>
        <w:t xml:space="preserve"> hospital investments, these other donations would not be acknowledged.</w:t>
      </w:r>
    </w:p>
    <w:p w14:paraId="0D7A1750" w14:textId="1ADC92A2" w:rsidR="00F52AA7" w:rsidRDefault="11424DCF">
      <w:r w:rsidRPr="11424DCF">
        <w:rPr>
          <w:rFonts w:ascii="Seaford" w:eastAsia="Seaford" w:hAnsi="Seaford" w:cs="Seaford"/>
          <w:color w:val="000000" w:themeColor="text1"/>
        </w:rPr>
        <w:t>Lastly, the proposal articulates different ways the percentage of funding would be calculated for each hospital. Per federal law, hospitals currently report their community benefits in the following categories:</w:t>
      </w:r>
    </w:p>
    <w:p w14:paraId="0286E755" w14:textId="543D34E4" w:rsidR="00F52AA7" w:rsidRDefault="11424DCF" w:rsidP="11424DCF">
      <w:pPr>
        <w:pStyle w:val="ListParagraph"/>
        <w:numPr>
          <w:ilvl w:val="0"/>
          <w:numId w:val="2"/>
        </w:numPr>
        <w:rPr>
          <w:rFonts w:eastAsiaTheme="minorEastAsia"/>
          <w:color w:val="000000" w:themeColor="text1"/>
        </w:rPr>
      </w:pPr>
      <w:r w:rsidRPr="11424DCF">
        <w:rPr>
          <w:rFonts w:ascii="Seaford" w:eastAsia="Seaford" w:hAnsi="Seaford" w:cs="Seaford"/>
          <w:b/>
          <w:bCs/>
          <w:color w:val="000000" w:themeColor="text1"/>
        </w:rPr>
        <w:t>Financial Assistance and Means-Tested Charity Government Programs:</w:t>
      </w:r>
      <w:r w:rsidRPr="11424DCF">
        <w:rPr>
          <w:rFonts w:ascii="Seaford" w:eastAsia="Seaford" w:hAnsi="Seaford" w:cs="Seaford"/>
          <w:color w:val="000000" w:themeColor="text1"/>
        </w:rPr>
        <w:t xml:space="preserve"> Includes financial assistance at cost, Medicaid shortfall, costs for other means-tested programs, and charity care</w:t>
      </w:r>
    </w:p>
    <w:p w14:paraId="286184C2" w14:textId="39C62820" w:rsidR="00F52AA7" w:rsidRDefault="11424DCF" w:rsidP="11424DCF">
      <w:pPr>
        <w:pStyle w:val="ListParagraph"/>
        <w:numPr>
          <w:ilvl w:val="0"/>
          <w:numId w:val="2"/>
        </w:numPr>
        <w:rPr>
          <w:rFonts w:eastAsiaTheme="minorEastAsia"/>
          <w:color w:val="000000" w:themeColor="text1"/>
        </w:rPr>
      </w:pPr>
      <w:r w:rsidRPr="11424DCF">
        <w:rPr>
          <w:rFonts w:ascii="Seaford" w:eastAsia="Seaford" w:hAnsi="Seaford" w:cs="Seaford"/>
          <w:b/>
          <w:bCs/>
          <w:color w:val="000000" w:themeColor="text1"/>
        </w:rPr>
        <w:t xml:space="preserve">Other Benefits: </w:t>
      </w:r>
      <w:r w:rsidRPr="11424DCF">
        <w:rPr>
          <w:rFonts w:ascii="Seaford" w:eastAsia="Seaford" w:hAnsi="Seaford" w:cs="Seaford"/>
          <w:color w:val="000000" w:themeColor="text1"/>
        </w:rPr>
        <w:t>Includes community health improvements, health professions education, subsidized health services, community building activities, research, and cash or in-kind contributions to community groups</w:t>
      </w:r>
    </w:p>
    <w:p w14:paraId="4B9D3202" w14:textId="44457C1F" w:rsidR="00F52AA7" w:rsidRDefault="11424DCF">
      <w:r w:rsidRPr="11424DCF">
        <w:rPr>
          <w:rFonts w:ascii="Seaford" w:eastAsia="Seaford" w:hAnsi="Seaford" w:cs="Seaford"/>
          <w:color w:val="000000" w:themeColor="text1"/>
        </w:rPr>
        <w:t xml:space="preserve">Whether the denominator used to calculate 25% for community-based organizations on activities to address the social determinants of health includes both categories or only the activities under “Other Benefits,” it still would result in the need for our hospital to either increase overall spending or shift spending away from health care-related community priorities such as </w:t>
      </w:r>
      <w:r w:rsidRPr="11424DCF">
        <w:rPr>
          <w:rFonts w:ascii="Seaford" w:eastAsia="Seaford" w:hAnsi="Seaford" w:cs="Seaford"/>
          <w:b/>
          <w:bCs/>
          <w:color w:val="000000" w:themeColor="text1"/>
          <w:highlight w:val="yellow"/>
        </w:rPr>
        <w:t>ADD EXAMPLE HERE</w:t>
      </w:r>
      <w:r w:rsidRPr="11424DCF">
        <w:rPr>
          <w:rFonts w:ascii="Seaford" w:eastAsia="Seaford" w:hAnsi="Seaford" w:cs="Seaford"/>
          <w:color w:val="000000" w:themeColor="text1"/>
        </w:rPr>
        <w:t>. Increasing overall funding runs counter to the governor’s proposal on health care affordability</w:t>
      </w:r>
      <w:r w:rsidR="00B46204">
        <w:rPr>
          <w:rFonts w:ascii="Seaford" w:eastAsia="Seaford" w:hAnsi="Seaford" w:cs="Seaford"/>
          <w:color w:val="000000" w:themeColor="text1"/>
        </w:rPr>
        <w:t>,</w:t>
      </w:r>
      <w:r w:rsidRPr="11424DCF">
        <w:rPr>
          <w:rFonts w:ascii="Seaford" w:eastAsia="Seaford" w:hAnsi="Seaford" w:cs="Seaford"/>
          <w:color w:val="000000" w:themeColor="text1"/>
        </w:rPr>
        <w:t xml:space="preserve"> and any predetermined requirement could result in reduced investments in health care for vulnerable communities </w:t>
      </w:r>
      <w:r w:rsidR="00B46204">
        <w:rPr>
          <w:rFonts w:ascii="Seaford" w:eastAsia="Seaford" w:hAnsi="Seaford" w:cs="Seaford"/>
          <w:color w:val="000000" w:themeColor="text1"/>
        </w:rPr>
        <w:t>throughout</w:t>
      </w:r>
      <w:r w:rsidRPr="11424DCF">
        <w:rPr>
          <w:rFonts w:ascii="Seaford" w:eastAsia="Seaford" w:hAnsi="Seaford" w:cs="Seaford"/>
          <w:color w:val="000000" w:themeColor="text1"/>
        </w:rPr>
        <w:t xml:space="preserve"> California.  </w:t>
      </w:r>
    </w:p>
    <w:p w14:paraId="275F46A3" w14:textId="2D7E5F84" w:rsidR="00F52AA7" w:rsidRDefault="002563A4" w:rsidP="11424DCF">
      <w:pPr>
        <w:rPr>
          <w:rFonts w:ascii="Seaford" w:eastAsia="Seaford" w:hAnsi="Seaford" w:cs="Seaford"/>
        </w:rPr>
      </w:pPr>
      <w:r w:rsidRPr="006241B4">
        <w:rPr>
          <w:rFonts w:ascii="Seaford" w:eastAsia="Seaford" w:hAnsi="Seaford" w:cs="Seaford"/>
        </w:rPr>
        <w:lastRenderedPageBreak/>
        <w:t xml:space="preserve">For these reasons, </w:t>
      </w:r>
      <w:r w:rsidR="11424DCF" w:rsidRPr="2844A617">
        <w:rPr>
          <w:rFonts w:ascii="Seaford" w:eastAsia="Seaford" w:hAnsi="Seaford" w:cs="Seaford"/>
          <w:highlight w:val="yellow"/>
        </w:rPr>
        <w:t>HOSPITAL NAME</w:t>
      </w:r>
      <w:r w:rsidR="11424DCF" w:rsidRPr="2844A617">
        <w:rPr>
          <w:rFonts w:ascii="Seaford" w:eastAsia="Seaford" w:hAnsi="Seaford" w:cs="Seaford"/>
        </w:rPr>
        <w:t xml:space="preserve"> has sincere concerns with this proposal and urges you to reject it. </w:t>
      </w:r>
    </w:p>
    <w:p w14:paraId="538F6BE7" w14:textId="51A074F2" w:rsidR="00F52AA7" w:rsidRDefault="11424DCF">
      <w:r w:rsidRPr="11424DCF">
        <w:rPr>
          <w:rFonts w:ascii="Seaford" w:eastAsia="Seaford" w:hAnsi="Seaford" w:cs="Seaford"/>
        </w:rPr>
        <w:t>Sincerely,</w:t>
      </w:r>
    </w:p>
    <w:p w14:paraId="6973A00F" w14:textId="1B7ED3F8" w:rsidR="00F52AA7" w:rsidRDefault="11424DCF">
      <w:r w:rsidRPr="11424DCF">
        <w:rPr>
          <w:rFonts w:ascii="Seaford" w:eastAsia="Seaford" w:hAnsi="Seaford" w:cs="Seaford"/>
        </w:rPr>
        <w:t xml:space="preserve"> </w:t>
      </w:r>
    </w:p>
    <w:p w14:paraId="2C1A137B" w14:textId="6588763C" w:rsidR="00F52AA7" w:rsidRDefault="11424DCF" w:rsidP="11424DCF">
      <w:pPr>
        <w:spacing w:after="0"/>
      </w:pPr>
      <w:r w:rsidRPr="11424DCF">
        <w:rPr>
          <w:rFonts w:ascii="Seaford" w:eastAsia="Seaford" w:hAnsi="Seaford" w:cs="Seaford"/>
          <w:color w:val="000000" w:themeColor="text1"/>
          <w:highlight w:val="yellow"/>
        </w:rPr>
        <w:t>Name</w:t>
      </w:r>
    </w:p>
    <w:p w14:paraId="61A966F9" w14:textId="2DD08A63" w:rsidR="00F52AA7" w:rsidRDefault="11424DCF" w:rsidP="11424DCF">
      <w:pPr>
        <w:spacing w:after="0"/>
      </w:pPr>
      <w:r w:rsidRPr="11424DCF">
        <w:rPr>
          <w:rFonts w:ascii="Seaford" w:eastAsia="Seaford" w:hAnsi="Seaford" w:cs="Seaford"/>
          <w:color w:val="000000" w:themeColor="text1"/>
          <w:highlight w:val="yellow"/>
        </w:rPr>
        <w:t>Title</w:t>
      </w:r>
    </w:p>
    <w:p w14:paraId="44A2E12B" w14:textId="0DF88918" w:rsidR="00F52AA7" w:rsidRDefault="00F52AA7" w:rsidP="11424DCF">
      <w:pPr>
        <w:rPr>
          <w:rFonts w:ascii="Seaford" w:eastAsia="Seaford" w:hAnsi="Seaford" w:cs="Seaford"/>
        </w:rPr>
      </w:pPr>
    </w:p>
    <w:p w14:paraId="5FDAB0AA" w14:textId="03C8830F" w:rsidR="00F52AA7" w:rsidRDefault="11424DCF">
      <w:r w:rsidRPr="11424DCF">
        <w:rPr>
          <w:rFonts w:ascii="Seaford" w:eastAsia="Seaford" w:hAnsi="Seaford" w:cs="Seaford"/>
        </w:rPr>
        <w:t xml:space="preserve"> </w:t>
      </w:r>
    </w:p>
    <w:p w14:paraId="73B280FD" w14:textId="2889DD9B" w:rsidR="00F52AA7" w:rsidRDefault="11424DCF" w:rsidP="11424DCF">
      <w:pPr>
        <w:tabs>
          <w:tab w:val="left" w:pos="450"/>
        </w:tabs>
      </w:pPr>
      <w:r w:rsidRPr="11424DCF">
        <w:rPr>
          <w:rFonts w:ascii="Seaford" w:eastAsia="Seaford" w:hAnsi="Seaford" w:cs="Seaford"/>
        </w:rPr>
        <w:t xml:space="preserve"> </w:t>
      </w:r>
    </w:p>
    <w:p w14:paraId="2C078E63" w14:textId="4ED8D211" w:rsidR="00F52AA7" w:rsidRDefault="00F52AA7" w:rsidP="11424DCF">
      <w:pPr>
        <w:rPr>
          <w:rFonts w:ascii="Seaford" w:eastAsia="Seaford" w:hAnsi="Seaford" w:cs="Seaford"/>
        </w:rPr>
      </w:pPr>
    </w:p>
    <w:sectPr w:rsidR="00F52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aford">
    <w:altName w:val="Seaford"/>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3A1C"/>
    <w:multiLevelType w:val="hybridMultilevel"/>
    <w:tmpl w:val="27684906"/>
    <w:lvl w:ilvl="0" w:tplc="E5C8A92E">
      <w:start w:val="1"/>
      <w:numFmt w:val="bullet"/>
      <w:lvlText w:val=""/>
      <w:lvlJc w:val="left"/>
      <w:pPr>
        <w:ind w:left="720" w:hanging="360"/>
      </w:pPr>
      <w:rPr>
        <w:rFonts w:ascii="Symbol" w:hAnsi="Symbol" w:hint="default"/>
      </w:rPr>
    </w:lvl>
    <w:lvl w:ilvl="1" w:tplc="D1100610">
      <w:start w:val="1"/>
      <w:numFmt w:val="bullet"/>
      <w:lvlText w:val="o"/>
      <w:lvlJc w:val="left"/>
      <w:pPr>
        <w:ind w:left="1440" w:hanging="360"/>
      </w:pPr>
      <w:rPr>
        <w:rFonts w:ascii="Courier New" w:hAnsi="Courier New" w:hint="default"/>
      </w:rPr>
    </w:lvl>
    <w:lvl w:ilvl="2" w:tplc="FF529B22">
      <w:start w:val="1"/>
      <w:numFmt w:val="bullet"/>
      <w:lvlText w:val=""/>
      <w:lvlJc w:val="left"/>
      <w:pPr>
        <w:ind w:left="2160" w:hanging="360"/>
      </w:pPr>
      <w:rPr>
        <w:rFonts w:ascii="Wingdings" w:hAnsi="Wingdings" w:hint="default"/>
      </w:rPr>
    </w:lvl>
    <w:lvl w:ilvl="3" w:tplc="EA767130">
      <w:start w:val="1"/>
      <w:numFmt w:val="bullet"/>
      <w:lvlText w:val=""/>
      <w:lvlJc w:val="left"/>
      <w:pPr>
        <w:ind w:left="2880" w:hanging="360"/>
      </w:pPr>
      <w:rPr>
        <w:rFonts w:ascii="Symbol" w:hAnsi="Symbol" w:hint="default"/>
      </w:rPr>
    </w:lvl>
    <w:lvl w:ilvl="4" w:tplc="A3EC2034">
      <w:start w:val="1"/>
      <w:numFmt w:val="bullet"/>
      <w:lvlText w:val="o"/>
      <w:lvlJc w:val="left"/>
      <w:pPr>
        <w:ind w:left="3600" w:hanging="360"/>
      </w:pPr>
      <w:rPr>
        <w:rFonts w:ascii="Courier New" w:hAnsi="Courier New" w:hint="default"/>
      </w:rPr>
    </w:lvl>
    <w:lvl w:ilvl="5" w:tplc="C9B6EA64">
      <w:start w:val="1"/>
      <w:numFmt w:val="bullet"/>
      <w:lvlText w:val=""/>
      <w:lvlJc w:val="left"/>
      <w:pPr>
        <w:ind w:left="4320" w:hanging="360"/>
      </w:pPr>
      <w:rPr>
        <w:rFonts w:ascii="Wingdings" w:hAnsi="Wingdings" w:hint="default"/>
      </w:rPr>
    </w:lvl>
    <w:lvl w:ilvl="6" w:tplc="89889416">
      <w:start w:val="1"/>
      <w:numFmt w:val="bullet"/>
      <w:lvlText w:val=""/>
      <w:lvlJc w:val="left"/>
      <w:pPr>
        <w:ind w:left="5040" w:hanging="360"/>
      </w:pPr>
      <w:rPr>
        <w:rFonts w:ascii="Symbol" w:hAnsi="Symbol" w:hint="default"/>
      </w:rPr>
    </w:lvl>
    <w:lvl w:ilvl="7" w:tplc="73CE1D70">
      <w:start w:val="1"/>
      <w:numFmt w:val="bullet"/>
      <w:lvlText w:val="o"/>
      <w:lvlJc w:val="left"/>
      <w:pPr>
        <w:ind w:left="5760" w:hanging="360"/>
      </w:pPr>
      <w:rPr>
        <w:rFonts w:ascii="Courier New" w:hAnsi="Courier New" w:hint="default"/>
      </w:rPr>
    </w:lvl>
    <w:lvl w:ilvl="8" w:tplc="D1E0FD76">
      <w:start w:val="1"/>
      <w:numFmt w:val="bullet"/>
      <w:lvlText w:val=""/>
      <w:lvlJc w:val="left"/>
      <w:pPr>
        <w:ind w:left="6480" w:hanging="360"/>
      </w:pPr>
      <w:rPr>
        <w:rFonts w:ascii="Wingdings" w:hAnsi="Wingdings" w:hint="default"/>
      </w:rPr>
    </w:lvl>
  </w:abstractNum>
  <w:abstractNum w:abstractNumId="1" w15:restartNumberingAfterBreak="0">
    <w:nsid w:val="55991DAB"/>
    <w:multiLevelType w:val="hybridMultilevel"/>
    <w:tmpl w:val="ACA26742"/>
    <w:lvl w:ilvl="0" w:tplc="B5A64FA4">
      <w:start w:val="1"/>
      <w:numFmt w:val="bullet"/>
      <w:lvlText w:val="·"/>
      <w:lvlJc w:val="left"/>
      <w:pPr>
        <w:ind w:left="720" w:hanging="360"/>
      </w:pPr>
      <w:rPr>
        <w:rFonts w:ascii="Symbol" w:hAnsi="Symbol" w:hint="default"/>
      </w:rPr>
    </w:lvl>
    <w:lvl w:ilvl="1" w:tplc="C15A261C">
      <w:start w:val="1"/>
      <w:numFmt w:val="bullet"/>
      <w:lvlText w:val="o"/>
      <w:lvlJc w:val="left"/>
      <w:pPr>
        <w:ind w:left="1440" w:hanging="360"/>
      </w:pPr>
      <w:rPr>
        <w:rFonts w:ascii="Courier New" w:hAnsi="Courier New" w:hint="default"/>
      </w:rPr>
    </w:lvl>
    <w:lvl w:ilvl="2" w:tplc="56AC8470">
      <w:start w:val="1"/>
      <w:numFmt w:val="bullet"/>
      <w:lvlText w:val=""/>
      <w:lvlJc w:val="left"/>
      <w:pPr>
        <w:ind w:left="2160" w:hanging="360"/>
      </w:pPr>
      <w:rPr>
        <w:rFonts w:ascii="Wingdings" w:hAnsi="Wingdings" w:hint="default"/>
      </w:rPr>
    </w:lvl>
    <w:lvl w:ilvl="3" w:tplc="52982722">
      <w:start w:val="1"/>
      <w:numFmt w:val="bullet"/>
      <w:lvlText w:val=""/>
      <w:lvlJc w:val="left"/>
      <w:pPr>
        <w:ind w:left="2880" w:hanging="360"/>
      </w:pPr>
      <w:rPr>
        <w:rFonts w:ascii="Symbol" w:hAnsi="Symbol" w:hint="default"/>
      </w:rPr>
    </w:lvl>
    <w:lvl w:ilvl="4" w:tplc="9288E030">
      <w:start w:val="1"/>
      <w:numFmt w:val="bullet"/>
      <w:lvlText w:val="o"/>
      <w:lvlJc w:val="left"/>
      <w:pPr>
        <w:ind w:left="3600" w:hanging="360"/>
      </w:pPr>
      <w:rPr>
        <w:rFonts w:ascii="Courier New" w:hAnsi="Courier New" w:hint="default"/>
      </w:rPr>
    </w:lvl>
    <w:lvl w:ilvl="5" w:tplc="28083692">
      <w:start w:val="1"/>
      <w:numFmt w:val="bullet"/>
      <w:lvlText w:val=""/>
      <w:lvlJc w:val="left"/>
      <w:pPr>
        <w:ind w:left="4320" w:hanging="360"/>
      </w:pPr>
      <w:rPr>
        <w:rFonts w:ascii="Wingdings" w:hAnsi="Wingdings" w:hint="default"/>
      </w:rPr>
    </w:lvl>
    <w:lvl w:ilvl="6" w:tplc="DDCEB8E6">
      <w:start w:val="1"/>
      <w:numFmt w:val="bullet"/>
      <w:lvlText w:val=""/>
      <w:lvlJc w:val="left"/>
      <w:pPr>
        <w:ind w:left="5040" w:hanging="360"/>
      </w:pPr>
      <w:rPr>
        <w:rFonts w:ascii="Symbol" w:hAnsi="Symbol" w:hint="default"/>
      </w:rPr>
    </w:lvl>
    <w:lvl w:ilvl="7" w:tplc="DCCC1ECC">
      <w:start w:val="1"/>
      <w:numFmt w:val="bullet"/>
      <w:lvlText w:val="o"/>
      <w:lvlJc w:val="left"/>
      <w:pPr>
        <w:ind w:left="5760" w:hanging="360"/>
      </w:pPr>
      <w:rPr>
        <w:rFonts w:ascii="Courier New" w:hAnsi="Courier New" w:hint="default"/>
      </w:rPr>
    </w:lvl>
    <w:lvl w:ilvl="8" w:tplc="D1C06A1A">
      <w:start w:val="1"/>
      <w:numFmt w:val="bullet"/>
      <w:lvlText w:val=""/>
      <w:lvlJc w:val="left"/>
      <w:pPr>
        <w:ind w:left="6480" w:hanging="360"/>
      </w:pPr>
      <w:rPr>
        <w:rFonts w:ascii="Wingdings" w:hAnsi="Wingdings" w:hint="default"/>
      </w:rPr>
    </w:lvl>
  </w:abstractNum>
  <w:abstractNum w:abstractNumId="2" w15:restartNumberingAfterBreak="0">
    <w:nsid w:val="75976EF9"/>
    <w:multiLevelType w:val="hybridMultilevel"/>
    <w:tmpl w:val="2D80018E"/>
    <w:lvl w:ilvl="0" w:tplc="DC16EAAE">
      <w:start w:val="1"/>
      <w:numFmt w:val="bullet"/>
      <w:lvlText w:val="·"/>
      <w:lvlJc w:val="left"/>
      <w:pPr>
        <w:ind w:left="720" w:hanging="360"/>
      </w:pPr>
      <w:rPr>
        <w:rFonts w:ascii="Symbol" w:hAnsi="Symbol" w:hint="default"/>
      </w:rPr>
    </w:lvl>
    <w:lvl w:ilvl="1" w:tplc="A9D28CF8">
      <w:start w:val="1"/>
      <w:numFmt w:val="bullet"/>
      <w:lvlText w:val="o"/>
      <w:lvlJc w:val="left"/>
      <w:pPr>
        <w:ind w:left="1440" w:hanging="360"/>
      </w:pPr>
      <w:rPr>
        <w:rFonts w:ascii="Courier New" w:hAnsi="Courier New" w:hint="default"/>
      </w:rPr>
    </w:lvl>
    <w:lvl w:ilvl="2" w:tplc="9D122AC0">
      <w:start w:val="1"/>
      <w:numFmt w:val="bullet"/>
      <w:lvlText w:val=""/>
      <w:lvlJc w:val="left"/>
      <w:pPr>
        <w:ind w:left="2160" w:hanging="360"/>
      </w:pPr>
      <w:rPr>
        <w:rFonts w:ascii="Wingdings" w:hAnsi="Wingdings" w:hint="default"/>
      </w:rPr>
    </w:lvl>
    <w:lvl w:ilvl="3" w:tplc="7FEABE90">
      <w:start w:val="1"/>
      <w:numFmt w:val="bullet"/>
      <w:lvlText w:val=""/>
      <w:lvlJc w:val="left"/>
      <w:pPr>
        <w:ind w:left="2880" w:hanging="360"/>
      </w:pPr>
      <w:rPr>
        <w:rFonts w:ascii="Symbol" w:hAnsi="Symbol" w:hint="default"/>
      </w:rPr>
    </w:lvl>
    <w:lvl w:ilvl="4" w:tplc="35CC5B82">
      <w:start w:val="1"/>
      <w:numFmt w:val="bullet"/>
      <w:lvlText w:val="o"/>
      <w:lvlJc w:val="left"/>
      <w:pPr>
        <w:ind w:left="3600" w:hanging="360"/>
      </w:pPr>
      <w:rPr>
        <w:rFonts w:ascii="Courier New" w:hAnsi="Courier New" w:hint="default"/>
      </w:rPr>
    </w:lvl>
    <w:lvl w:ilvl="5" w:tplc="05029B6A">
      <w:start w:val="1"/>
      <w:numFmt w:val="bullet"/>
      <w:lvlText w:val=""/>
      <w:lvlJc w:val="left"/>
      <w:pPr>
        <w:ind w:left="4320" w:hanging="360"/>
      </w:pPr>
      <w:rPr>
        <w:rFonts w:ascii="Wingdings" w:hAnsi="Wingdings" w:hint="default"/>
      </w:rPr>
    </w:lvl>
    <w:lvl w:ilvl="6" w:tplc="ACDAAAC8">
      <w:start w:val="1"/>
      <w:numFmt w:val="bullet"/>
      <w:lvlText w:val=""/>
      <w:lvlJc w:val="left"/>
      <w:pPr>
        <w:ind w:left="5040" w:hanging="360"/>
      </w:pPr>
      <w:rPr>
        <w:rFonts w:ascii="Symbol" w:hAnsi="Symbol" w:hint="default"/>
      </w:rPr>
    </w:lvl>
    <w:lvl w:ilvl="7" w:tplc="576ADA80">
      <w:start w:val="1"/>
      <w:numFmt w:val="bullet"/>
      <w:lvlText w:val="o"/>
      <w:lvlJc w:val="left"/>
      <w:pPr>
        <w:ind w:left="5760" w:hanging="360"/>
      </w:pPr>
      <w:rPr>
        <w:rFonts w:ascii="Courier New" w:hAnsi="Courier New" w:hint="default"/>
      </w:rPr>
    </w:lvl>
    <w:lvl w:ilvl="8" w:tplc="DC5EA4B2">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D06B0C"/>
    <w:rsid w:val="00026C1C"/>
    <w:rsid w:val="001815F8"/>
    <w:rsid w:val="0021122E"/>
    <w:rsid w:val="00254ECA"/>
    <w:rsid w:val="002563A4"/>
    <w:rsid w:val="00552150"/>
    <w:rsid w:val="00564D98"/>
    <w:rsid w:val="006241B4"/>
    <w:rsid w:val="008A1A3B"/>
    <w:rsid w:val="00B207A3"/>
    <w:rsid w:val="00B46204"/>
    <w:rsid w:val="00BA0C6C"/>
    <w:rsid w:val="00BE070F"/>
    <w:rsid w:val="00E02293"/>
    <w:rsid w:val="00E07C86"/>
    <w:rsid w:val="00E25D94"/>
    <w:rsid w:val="00E43EB9"/>
    <w:rsid w:val="00E676C6"/>
    <w:rsid w:val="00F52AA7"/>
    <w:rsid w:val="01244812"/>
    <w:rsid w:val="012806B8"/>
    <w:rsid w:val="01C896DA"/>
    <w:rsid w:val="03F9CE74"/>
    <w:rsid w:val="050BE3C8"/>
    <w:rsid w:val="06A7B429"/>
    <w:rsid w:val="08D06B0C"/>
    <w:rsid w:val="0A690FF8"/>
    <w:rsid w:val="0F362203"/>
    <w:rsid w:val="10BF291F"/>
    <w:rsid w:val="11424DCF"/>
    <w:rsid w:val="125AF980"/>
    <w:rsid w:val="15FCA228"/>
    <w:rsid w:val="16DDEFC1"/>
    <w:rsid w:val="1E43B6BF"/>
    <w:rsid w:val="20C14F8B"/>
    <w:rsid w:val="214221EE"/>
    <w:rsid w:val="2436EC38"/>
    <w:rsid w:val="2844A617"/>
    <w:rsid w:val="309442CE"/>
    <w:rsid w:val="3DA4BB86"/>
    <w:rsid w:val="3F47D662"/>
    <w:rsid w:val="41E41C99"/>
    <w:rsid w:val="438C6D0C"/>
    <w:rsid w:val="446E521D"/>
    <w:rsid w:val="46587251"/>
    <w:rsid w:val="4BDBDE68"/>
    <w:rsid w:val="4C8B41E4"/>
    <w:rsid w:val="4D686C30"/>
    <w:rsid w:val="4E237ADD"/>
    <w:rsid w:val="4E271245"/>
    <w:rsid w:val="5582C0AE"/>
    <w:rsid w:val="577B816B"/>
    <w:rsid w:val="583C5C2C"/>
    <w:rsid w:val="5AEC6CF0"/>
    <w:rsid w:val="5E178DA0"/>
    <w:rsid w:val="6220E04E"/>
    <w:rsid w:val="6265025C"/>
    <w:rsid w:val="68BB1B83"/>
    <w:rsid w:val="696EADDF"/>
    <w:rsid w:val="6A56EBE4"/>
    <w:rsid w:val="6BB84292"/>
    <w:rsid w:val="6CE2C092"/>
    <w:rsid w:val="6F14CC12"/>
    <w:rsid w:val="711CC4D0"/>
    <w:rsid w:val="738B4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6B0C"/>
  <w15:chartTrackingRefBased/>
  <w15:docId w15:val="{76A7FFC7-B9A3-4274-A653-C22B09CD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B46204"/>
    <w:rPr>
      <w:sz w:val="16"/>
      <w:szCs w:val="16"/>
    </w:rPr>
  </w:style>
  <w:style w:type="paragraph" w:styleId="CommentText">
    <w:name w:val="annotation text"/>
    <w:basedOn w:val="Normal"/>
    <w:link w:val="CommentTextChar"/>
    <w:uiPriority w:val="99"/>
    <w:unhideWhenUsed/>
    <w:rsid w:val="00B46204"/>
    <w:pPr>
      <w:spacing w:line="240" w:lineRule="auto"/>
    </w:pPr>
    <w:rPr>
      <w:sz w:val="20"/>
      <w:szCs w:val="20"/>
    </w:rPr>
  </w:style>
  <w:style w:type="character" w:customStyle="1" w:styleId="CommentTextChar">
    <w:name w:val="Comment Text Char"/>
    <w:basedOn w:val="DefaultParagraphFont"/>
    <w:link w:val="CommentText"/>
    <w:uiPriority w:val="99"/>
    <w:rsid w:val="00B46204"/>
    <w:rPr>
      <w:sz w:val="20"/>
      <w:szCs w:val="20"/>
    </w:rPr>
  </w:style>
  <w:style w:type="paragraph" w:styleId="CommentSubject">
    <w:name w:val="annotation subject"/>
    <w:basedOn w:val="CommentText"/>
    <w:next w:val="CommentText"/>
    <w:link w:val="CommentSubjectChar"/>
    <w:uiPriority w:val="99"/>
    <w:semiHidden/>
    <w:unhideWhenUsed/>
    <w:rsid w:val="00B46204"/>
    <w:rPr>
      <w:b/>
      <w:bCs/>
    </w:rPr>
  </w:style>
  <w:style w:type="character" w:customStyle="1" w:styleId="CommentSubjectChar">
    <w:name w:val="Comment Subject Char"/>
    <w:basedOn w:val="CommentTextChar"/>
    <w:link w:val="CommentSubject"/>
    <w:uiPriority w:val="99"/>
    <w:semiHidden/>
    <w:rsid w:val="00B462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6998AEF49B14C9162997A2C2FC277" ma:contentTypeVersion="18" ma:contentTypeDescription="Create a new document." ma:contentTypeScope="" ma:versionID="dc848a4dd4e51d3222a97eea77f63683">
  <xsd:schema xmlns:xsd="http://www.w3.org/2001/XMLSchema" xmlns:xs="http://www.w3.org/2001/XMLSchema" xmlns:p="http://schemas.microsoft.com/office/2006/metadata/properties" xmlns:ns2="eec1121c-cda9-4836-be94-b3e836ec7879" xmlns:ns3="74f1bc41-95bc-426d-befc-d768ff8af8f7" targetNamespace="http://schemas.microsoft.com/office/2006/metadata/properties" ma:root="true" ma:fieldsID="c2b8e8509123220664d6fffcd9f2240a" ns2:_="" ns3:_="">
    <xsd:import namespace="eec1121c-cda9-4836-be94-b3e836ec7879"/>
    <xsd:import namespace="74f1bc41-95bc-426d-befc-d768ff8af8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Status" minOccurs="0"/>
                <xsd:element ref="ns3:MediaLengthInSeconds" minOccurs="0"/>
                <xsd:element ref="ns3:Numbe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1121c-cda9-4836-be94-b3e836ec78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111deb5-85fb-4757-822d-bf885682c216}" ma:internalName="TaxCatchAll" ma:showField="CatchAllData" ma:web="eec1121c-cda9-4836-be94-b3e836ec78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f1bc41-95bc-426d-befc-d768ff8af8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Status" ma:index="20" nillable="true" ma:displayName="Status" ma:default="Draft" ma:format="Dropdown" ma:internalName="Status">
      <xsd:simpleType>
        <xsd:restriction base="dms:Choice">
          <xsd:enumeration value="Draft"/>
          <xsd:enumeration value="Final"/>
        </xsd:restriction>
      </xsd:simpleType>
    </xsd:element>
    <xsd:element name="MediaLengthInSeconds" ma:index="21" nillable="true" ma:displayName="Length (seconds)" ma:internalName="MediaLengthInSeconds" ma:readOnly="true">
      <xsd:simpleType>
        <xsd:restriction base="dms:Unknown"/>
      </xsd:simpleType>
    </xsd:element>
    <xsd:element name="Number" ma:index="22" nillable="true" ma:displayName="Number" ma:format="Dropdown" ma:internalName="Number"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12d16c8-d7a8-429d-8311-ece1885a548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4f1bc41-95bc-426d-befc-d768ff8af8f7">Draft</Status>
    <lcf76f155ced4ddcb4097134ff3c332f xmlns="74f1bc41-95bc-426d-befc-d768ff8af8f7">
      <Terms xmlns="http://schemas.microsoft.com/office/infopath/2007/PartnerControls"/>
    </lcf76f155ced4ddcb4097134ff3c332f>
    <TaxCatchAll xmlns="eec1121c-cda9-4836-be94-b3e836ec7879" xsi:nil="true"/>
    <Number xmlns="74f1bc41-95bc-426d-befc-d768ff8af8f7" xsi:nil="true"/>
  </documentManagement>
</p:properties>
</file>

<file path=customXml/itemProps1.xml><?xml version="1.0" encoding="utf-8"?>
<ds:datastoreItem xmlns:ds="http://schemas.openxmlformats.org/officeDocument/2006/customXml" ds:itemID="{CA2691F8-36EC-4978-96C6-4882A372D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1121c-cda9-4836-be94-b3e836ec7879"/>
    <ds:schemaRef ds:uri="74f1bc41-95bc-426d-befc-d768ff8af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3BBBB-8CA8-4D81-BBAE-A57BA7880AC6}">
  <ds:schemaRefs>
    <ds:schemaRef ds:uri="http://schemas.microsoft.com/sharepoint/v3/contenttype/forms"/>
  </ds:schemaRefs>
</ds:datastoreItem>
</file>

<file path=customXml/itemProps3.xml><?xml version="1.0" encoding="utf-8"?>
<ds:datastoreItem xmlns:ds="http://schemas.openxmlformats.org/officeDocument/2006/customXml" ds:itemID="{C8A47AF2-D833-423E-BCC9-C84E263D96F8}">
  <ds:schemaRefs>
    <ds:schemaRef ds:uri="http://purl.org/dc/elements/1.1/"/>
    <ds:schemaRef ds:uri="http://schemas.microsoft.com/office/infopath/2007/PartnerControls"/>
    <ds:schemaRef ds:uri="http://www.w3.org/XML/1998/namespace"/>
    <ds:schemaRef ds:uri="http://purl.org/dc/dcmitype/"/>
    <ds:schemaRef ds:uri="74f1bc41-95bc-426d-befc-d768ff8af8f7"/>
    <ds:schemaRef ds:uri="eec1121c-cda9-4836-be94-b3e836ec7879"/>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 Baker</dc:creator>
  <cp:keywords/>
  <dc:description/>
  <cp:lastModifiedBy>Coco Baker</cp:lastModifiedBy>
  <cp:revision>2</cp:revision>
  <dcterms:created xsi:type="dcterms:W3CDTF">2022-04-15T18:22:00Z</dcterms:created>
  <dcterms:modified xsi:type="dcterms:W3CDTF">2022-04-15T18:22:00Z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0x01010092C6998AEF49B14C9162997A2C2FC277</vt:lpwstr>
  </property>
  <property fmtid="{D5CDD505-2E9C-101B-9397-08002B2CF9AE}" pid="3" name="MediaServiceImageTags">
    <vt:lpwstr/>
  </property>
</Properties>
</file>