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847D14" w14:textId="6354B549" w:rsidR="000F4598" w:rsidRPr="0086594C" w:rsidRDefault="000F4598" w:rsidP="000F4598">
      <w:pPr>
        <w:pStyle w:val="NoSpacing"/>
        <w:rPr>
          <w:rFonts w:ascii="Seaford" w:hAnsi="Seaford"/>
        </w:rPr>
      </w:pPr>
      <w:r w:rsidRPr="0086594C">
        <w:rPr>
          <w:rFonts w:ascii="Seaford" w:hAnsi="Seaford"/>
        </w:rPr>
        <w:t>Email Subject Line: Support Hospitals and Health Care Workers by Providing COVID-19 Relief</w:t>
      </w:r>
    </w:p>
    <w:p w14:paraId="16B6DEBA" w14:textId="008B395A" w:rsidR="000F4598" w:rsidRPr="0086594C" w:rsidRDefault="000F4598"/>
    <w:p w14:paraId="3F8C0543" w14:textId="6AD9E3E1" w:rsidR="000F4598" w:rsidRPr="0086594C" w:rsidRDefault="000F4598" w:rsidP="000F4598">
      <w:pPr>
        <w:pStyle w:val="NoSpacing"/>
        <w:rPr>
          <w:rFonts w:ascii="Seaford" w:hAnsi="Seaford"/>
        </w:rPr>
      </w:pPr>
      <w:r w:rsidRPr="0086594C">
        <w:rPr>
          <w:rFonts w:ascii="Seaford" w:hAnsi="Seaford"/>
        </w:rPr>
        <w:t>Dear Rep. (</w:t>
      </w:r>
      <w:r w:rsidRPr="0086594C">
        <w:rPr>
          <w:rFonts w:ascii="Seaford" w:hAnsi="Seaford"/>
          <w:highlight w:val="yellow"/>
        </w:rPr>
        <w:t>Member’s Name</w:t>
      </w:r>
      <w:r w:rsidRPr="0086594C">
        <w:rPr>
          <w:rFonts w:ascii="Seaford" w:hAnsi="Seaford"/>
        </w:rPr>
        <w:t xml:space="preserve">): </w:t>
      </w:r>
    </w:p>
    <w:p w14:paraId="0BECA13F" w14:textId="77777777" w:rsidR="000F4598" w:rsidRPr="0086594C" w:rsidRDefault="000F4598" w:rsidP="000F4598">
      <w:pPr>
        <w:pStyle w:val="Default"/>
        <w:rPr>
          <w:sz w:val="22"/>
          <w:szCs w:val="22"/>
        </w:rPr>
      </w:pPr>
    </w:p>
    <w:p w14:paraId="0FF2AD34" w14:textId="4A2038C4" w:rsidR="000F4598" w:rsidRPr="0086594C" w:rsidRDefault="000F4598" w:rsidP="000F4598">
      <w:pPr>
        <w:pStyle w:val="Default"/>
        <w:rPr>
          <w:sz w:val="22"/>
          <w:szCs w:val="22"/>
        </w:rPr>
      </w:pPr>
      <w:r w:rsidRPr="0086594C">
        <w:rPr>
          <w:sz w:val="22"/>
          <w:szCs w:val="22"/>
        </w:rPr>
        <w:t xml:space="preserve">As COVID-19 hospitalizations reach the highest recorded level since the beginning of the pandemic, California hospitals are nearing a breaking point. Omicron is spreading like wildfire throughout the state, and public health models indicate the peak will not be reached until the end of January. Hospitals are rapidly filling with sick patients while at the same time, many health care workers are either sick themselves, have been exposed to the virus, or are caring for family members. </w:t>
      </w:r>
    </w:p>
    <w:p w14:paraId="512E9AA2" w14:textId="77777777" w:rsidR="000F4598" w:rsidRPr="0086594C" w:rsidRDefault="000F4598" w:rsidP="000F4598">
      <w:pPr>
        <w:pStyle w:val="Default"/>
        <w:rPr>
          <w:sz w:val="22"/>
          <w:szCs w:val="22"/>
        </w:rPr>
      </w:pPr>
    </w:p>
    <w:p w14:paraId="6BEB6A05" w14:textId="184F3618" w:rsidR="000F4598" w:rsidRPr="0086594C" w:rsidRDefault="000F4598" w:rsidP="000F4598">
      <w:pPr>
        <w:pStyle w:val="Default"/>
        <w:rPr>
          <w:sz w:val="22"/>
          <w:szCs w:val="22"/>
        </w:rPr>
      </w:pPr>
      <w:r w:rsidRPr="0086594C">
        <w:rPr>
          <w:sz w:val="22"/>
          <w:szCs w:val="22"/>
        </w:rPr>
        <w:t>(</w:t>
      </w:r>
      <w:r w:rsidRPr="0086594C">
        <w:rPr>
          <w:sz w:val="22"/>
          <w:szCs w:val="22"/>
          <w:highlight w:val="yellow"/>
        </w:rPr>
        <w:t>Hospital name</w:t>
      </w:r>
      <w:r w:rsidRPr="0086594C">
        <w:rPr>
          <w:sz w:val="22"/>
          <w:szCs w:val="22"/>
        </w:rPr>
        <w:t xml:space="preserve">) urges your continued leadership in Congress to support hospitals and their staff during an unrelenting pandemic that threatens care in communities throughout California. </w:t>
      </w:r>
    </w:p>
    <w:p w14:paraId="05E37F85" w14:textId="77777777" w:rsidR="000F4598" w:rsidRPr="0086594C" w:rsidRDefault="000F4598" w:rsidP="000F4598">
      <w:pPr>
        <w:pStyle w:val="Default"/>
        <w:rPr>
          <w:b/>
          <w:bCs/>
          <w:color w:val="212121"/>
          <w:sz w:val="22"/>
          <w:szCs w:val="22"/>
        </w:rPr>
      </w:pPr>
    </w:p>
    <w:p w14:paraId="414F429E" w14:textId="03EF141E" w:rsidR="000F4598" w:rsidRPr="0086594C" w:rsidRDefault="000F4598" w:rsidP="000F4598">
      <w:pPr>
        <w:pStyle w:val="Default"/>
        <w:rPr>
          <w:sz w:val="22"/>
          <w:szCs w:val="22"/>
        </w:rPr>
      </w:pPr>
      <w:r w:rsidRPr="0086594C">
        <w:rPr>
          <w:b/>
          <w:bCs/>
          <w:color w:val="212121"/>
          <w:sz w:val="22"/>
          <w:szCs w:val="22"/>
        </w:rPr>
        <w:t xml:space="preserve">Perilous Workforce Shortages </w:t>
      </w:r>
    </w:p>
    <w:p w14:paraId="18BB8A88" w14:textId="31DAEE77" w:rsidR="000F4598" w:rsidRPr="0086594C" w:rsidRDefault="000F4598" w:rsidP="000F4598">
      <w:pPr>
        <w:pStyle w:val="Default"/>
        <w:rPr>
          <w:sz w:val="22"/>
          <w:szCs w:val="22"/>
        </w:rPr>
      </w:pPr>
      <w:r w:rsidRPr="0086594C">
        <w:rPr>
          <w:sz w:val="22"/>
          <w:szCs w:val="22"/>
        </w:rPr>
        <w:t xml:space="preserve">More than 40% of California hospitals are experiencing dire workforce staffing challenges at a time when our state’s health care workforce is already depleted after nearly two years of fighting the pandemic. In California, 78% of hospitals report increased staff turnover between early 2020 and mid-2021 </w:t>
      </w:r>
      <w:r w:rsidRPr="0086594C">
        <w:rPr>
          <w:rFonts w:cs="Calibri"/>
          <w:sz w:val="22"/>
          <w:szCs w:val="22"/>
        </w:rPr>
        <w:t xml:space="preserve">— </w:t>
      </w:r>
      <w:r w:rsidRPr="0086594C">
        <w:rPr>
          <w:sz w:val="22"/>
          <w:szCs w:val="22"/>
        </w:rPr>
        <w:t xml:space="preserve">even before the omicron variant substantially exacerbated the national and global workforce challenge. Hospitals are doing everything they can to address staffing shortages, but they cannot hire workers who don’t exist. </w:t>
      </w:r>
    </w:p>
    <w:p w14:paraId="4941D2D0" w14:textId="77777777" w:rsidR="000F4598" w:rsidRPr="0086594C" w:rsidRDefault="000F4598" w:rsidP="000F4598">
      <w:pPr>
        <w:pStyle w:val="Default"/>
        <w:rPr>
          <w:sz w:val="22"/>
          <w:szCs w:val="22"/>
        </w:rPr>
      </w:pPr>
    </w:p>
    <w:p w14:paraId="36FB2A77" w14:textId="56FB4F70" w:rsidR="000F4598" w:rsidRPr="0086594C" w:rsidRDefault="000F4598" w:rsidP="000F4598">
      <w:pPr>
        <w:pStyle w:val="Default"/>
        <w:rPr>
          <w:sz w:val="22"/>
          <w:szCs w:val="22"/>
        </w:rPr>
      </w:pPr>
      <w:r w:rsidRPr="0086594C">
        <w:rPr>
          <w:sz w:val="22"/>
          <w:szCs w:val="22"/>
          <w:highlight w:val="yellow"/>
        </w:rPr>
        <w:t>(</w:t>
      </w:r>
      <w:r w:rsidR="003929B4" w:rsidRPr="0086594C">
        <w:rPr>
          <w:sz w:val="22"/>
          <w:szCs w:val="22"/>
          <w:highlight w:val="yellow"/>
        </w:rPr>
        <w:t>Include hospital-specific details/examples)</w:t>
      </w:r>
    </w:p>
    <w:p w14:paraId="4CC6BD24" w14:textId="77777777" w:rsidR="000F4598" w:rsidRPr="0086594C" w:rsidRDefault="000F4598" w:rsidP="000F4598">
      <w:pPr>
        <w:pStyle w:val="Default"/>
        <w:rPr>
          <w:sz w:val="22"/>
          <w:szCs w:val="22"/>
        </w:rPr>
      </w:pPr>
    </w:p>
    <w:p w14:paraId="6DBE42CB" w14:textId="7D414A27" w:rsidR="000F4598" w:rsidRPr="0086594C" w:rsidRDefault="000F4598" w:rsidP="000F4598">
      <w:pPr>
        <w:pStyle w:val="Default"/>
        <w:rPr>
          <w:sz w:val="22"/>
          <w:szCs w:val="22"/>
        </w:rPr>
      </w:pPr>
      <w:r w:rsidRPr="0086594C">
        <w:rPr>
          <w:sz w:val="22"/>
          <w:szCs w:val="22"/>
        </w:rPr>
        <w:t xml:space="preserve">Throughout this public health emergency, hospitals have cared for their workers in extraordinary ways by providing housing and childcare support, delivering financial bonuses, expanding wellness programs and counseling to support the mental and emotional well-being of those on the front lines, and providing extended leave and enhanced compensation. Now, they must turn to policy solutions to help them help their workers — with funding that supports wages, retention bonuses, and educating the next generation of health care workers to ensure a robust workforce that can care for all Californians in need. Several proposals included in the Build Back Better legislation address these very issues and must find their way to the president’s desk soon. </w:t>
      </w:r>
    </w:p>
    <w:p w14:paraId="719EBA22" w14:textId="77777777" w:rsidR="000F4598" w:rsidRPr="0086594C" w:rsidRDefault="000F4598" w:rsidP="000F4598">
      <w:pPr>
        <w:pStyle w:val="Default"/>
        <w:rPr>
          <w:sz w:val="22"/>
          <w:szCs w:val="22"/>
        </w:rPr>
      </w:pPr>
    </w:p>
    <w:p w14:paraId="37155936" w14:textId="77777777" w:rsidR="000F4598" w:rsidRPr="0086594C" w:rsidRDefault="000F4598" w:rsidP="000F4598">
      <w:pPr>
        <w:pStyle w:val="Default"/>
        <w:rPr>
          <w:sz w:val="22"/>
          <w:szCs w:val="22"/>
        </w:rPr>
      </w:pPr>
      <w:r w:rsidRPr="0086594C">
        <w:rPr>
          <w:b/>
          <w:bCs/>
          <w:sz w:val="22"/>
          <w:szCs w:val="22"/>
        </w:rPr>
        <w:t xml:space="preserve">Financial Toll </w:t>
      </w:r>
    </w:p>
    <w:p w14:paraId="1FEA2715" w14:textId="62FEC745" w:rsidR="000F4598" w:rsidRPr="0086594C" w:rsidRDefault="000F4598" w:rsidP="000F4598">
      <w:pPr>
        <w:pStyle w:val="NoSpacing"/>
        <w:rPr>
          <w:rFonts w:ascii="Seaford" w:hAnsi="Seaford"/>
          <w:color w:val="323232"/>
        </w:rPr>
      </w:pPr>
      <w:r w:rsidRPr="0086594C">
        <w:rPr>
          <w:rFonts w:ascii="Seaford" w:hAnsi="Seaford"/>
        </w:rPr>
        <w:t>In addition to unprecedented workforce shortages, hospitals continue to face enormous financial losses. California’s hospitals lost an estimated $16.3 billion due to the pandemic in 2020 and 2021. While hospitals are grateful for the federal relief they have received so far, it is simply inadequate. To make up for what have been catastrophic losses and the lack of adequate financial relief, many have resorted to borrowing billions through emergency loans to continue caring for their patients and staff</w:t>
      </w:r>
      <w:r w:rsidRPr="0086594C">
        <w:rPr>
          <w:rFonts w:ascii="Seaford" w:hAnsi="Seaford"/>
          <w:color w:val="323232"/>
        </w:rPr>
        <w:t>.</w:t>
      </w:r>
    </w:p>
    <w:p w14:paraId="632F9634" w14:textId="77777777" w:rsidR="003929B4" w:rsidRPr="0086594C" w:rsidRDefault="003929B4" w:rsidP="000F4598">
      <w:pPr>
        <w:pStyle w:val="NoSpacing"/>
        <w:rPr>
          <w:rFonts w:ascii="Seaford" w:hAnsi="Seaford"/>
        </w:rPr>
      </w:pPr>
    </w:p>
    <w:p w14:paraId="3B8B1DB0" w14:textId="77777777" w:rsidR="003929B4" w:rsidRPr="0086594C" w:rsidRDefault="003929B4" w:rsidP="003929B4">
      <w:pPr>
        <w:pStyle w:val="Default"/>
        <w:rPr>
          <w:sz w:val="22"/>
          <w:szCs w:val="22"/>
        </w:rPr>
      </w:pPr>
      <w:r w:rsidRPr="0086594C">
        <w:rPr>
          <w:sz w:val="22"/>
          <w:szCs w:val="22"/>
          <w:highlight w:val="yellow"/>
        </w:rPr>
        <w:t>(Include hospital-specific details/examples)</w:t>
      </w:r>
    </w:p>
    <w:p w14:paraId="2A84A4B9" w14:textId="50AB31FF" w:rsidR="000F4598" w:rsidRPr="0086594C" w:rsidRDefault="000F4598" w:rsidP="000F4598">
      <w:pPr>
        <w:pStyle w:val="paragraph"/>
        <w:spacing w:before="0" w:beforeAutospacing="0" w:after="0" w:afterAutospacing="0"/>
        <w:textAlignment w:val="baseline"/>
        <w:rPr>
          <w:rFonts w:ascii="Seaford" w:hAnsi="Seaford" w:cs="Segoe UI"/>
          <w:sz w:val="22"/>
          <w:szCs w:val="22"/>
        </w:rPr>
      </w:pPr>
    </w:p>
    <w:p w14:paraId="1B420A31" w14:textId="77777777" w:rsidR="0086594C" w:rsidRPr="0086594C" w:rsidRDefault="0086594C" w:rsidP="0086594C">
      <w:pPr>
        <w:pStyle w:val="ListParagraph"/>
        <w:widowControl w:val="0"/>
        <w:numPr>
          <w:ilvl w:val="0"/>
          <w:numId w:val="3"/>
        </w:numPr>
        <w:tabs>
          <w:tab w:val="left" w:pos="820"/>
          <w:tab w:val="left" w:pos="821"/>
        </w:tabs>
        <w:autoSpaceDE w:val="0"/>
        <w:autoSpaceDN w:val="0"/>
        <w:spacing w:before="101" w:after="0" w:line="240" w:lineRule="auto"/>
        <w:ind w:right="470"/>
        <w:contextualSpacing w:val="0"/>
        <w:rPr>
          <w:b/>
        </w:rPr>
      </w:pPr>
      <w:r w:rsidRPr="0086594C">
        <w:rPr>
          <w:i/>
        </w:rPr>
        <w:t xml:space="preserve">Provider Relief Funds: </w:t>
      </w:r>
      <w:r w:rsidRPr="0086594C">
        <w:t>The Department of Health and Human Services (HHS) is still in the process</w:t>
      </w:r>
      <w:r w:rsidRPr="0086594C">
        <w:rPr>
          <w:spacing w:val="-49"/>
        </w:rPr>
        <w:t xml:space="preserve"> </w:t>
      </w:r>
      <w:r w:rsidRPr="0086594C">
        <w:t xml:space="preserve">of distributing its fourth phase of Provider Relief Funds (PRF), which </w:t>
      </w:r>
      <w:r w:rsidRPr="0086594C">
        <w:lastRenderedPageBreak/>
        <w:t>cover a portion of hospitals’</w:t>
      </w:r>
      <w:r w:rsidRPr="0086594C">
        <w:rPr>
          <w:spacing w:val="1"/>
        </w:rPr>
        <w:t xml:space="preserve"> </w:t>
      </w:r>
      <w:r w:rsidRPr="0086594C">
        <w:t>losses and expenses incurred through March 2021. It is uncertain how much remains of the total</w:t>
      </w:r>
      <w:r w:rsidRPr="0086594C">
        <w:rPr>
          <w:spacing w:val="1"/>
        </w:rPr>
        <w:t xml:space="preserve"> </w:t>
      </w:r>
      <w:r w:rsidRPr="0086594C">
        <w:t>funds, but it’s a small fraction of what has been spent so far and is certainly woefully insufficient</w:t>
      </w:r>
      <w:r w:rsidRPr="0086594C">
        <w:rPr>
          <w:spacing w:val="1"/>
        </w:rPr>
        <w:t xml:space="preserve"> </w:t>
      </w:r>
      <w:r w:rsidRPr="0086594C">
        <w:t>to cover the last 10 months of the pandemic’s delta and omicron surges, not to mention whatever</w:t>
      </w:r>
      <w:r w:rsidRPr="0086594C">
        <w:rPr>
          <w:spacing w:val="-49"/>
        </w:rPr>
        <w:t xml:space="preserve"> </w:t>
      </w:r>
      <w:r w:rsidRPr="0086594C">
        <w:t>comes next. Of note, Phase 4 of the PRF is particularly inadequate for hospitals — like those in</w:t>
      </w:r>
      <w:r w:rsidRPr="0086594C">
        <w:rPr>
          <w:spacing w:val="1"/>
        </w:rPr>
        <w:t xml:space="preserve"> </w:t>
      </w:r>
      <w:r w:rsidRPr="0086594C">
        <w:t>California — that experienced a significant surge in COVID-19 admissions during late 2020 and</w:t>
      </w:r>
      <w:r w:rsidRPr="0086594C">
        <w:rPr>
          <w:spacing w:val="1"/>
        </w:rPr>
        <w:t xml:space="preserve"> </w:t>
      </w:r>
      <w:r w:rsidRPr="0086594C">
        <w:t>early 2021.</w:t>
      </w:r>
      <w:r w:rsidRPr="0086594C">
        <w:rPr>
          <w:color w:val="0462C1"/>
        </w:rPr>
        <w:t xml:space="preserve"> </w:t>
      </w:r>
      <w:hyperlink r:id="rId7">
        <w:r w:rsidRPr="0086594C">
          <w:rPr>
            <w:color w:val="0462C1"/>
            <w:u w:val="single" w:color="0462C1"/>
          </w:rPr>
          <w:t>This infographic</w:t>
        </w:r>
        <w:r w:rsidRPr="0086594C">
          <w:rPr>
            <w:color w:val="0462C1"/>
          </w:rPr>
          <w:t xml:space="preserve"> </w:t>
        </w:r>
      </w:hyperlink>
      <w:r w:rsidRPr="0086594C">
        <w:rPr>
          <w:color w:val="212121"/>
        </w:rPr>
        <w:t>details how California hospitals have not received their fair share of</w:t>
      </w:r>
      <w:r w:rsidRPr="0086594C">
        <w:rPr>
          <w:color w:val="212121"/>
          <w:spacing w:val="1"/>
        </w:rPr>
        <w:t xml:space="preserve"> </w:t>
      </w:r>
      <w:r w:rsidRPr="0086594C">
        <w:rPr>
          <w:color w:val="212121"/>
        </w:rPr>
        <w:t xml:space="preserve">funding to date. </w:t>
      </w:r>
      <w:r w:rsidRPr="0086594C">
        <w:rPr>
          <w:b/>
          <w:color w:val="212121"/>
        </w:rPr>
        <w:t>We ask that you urge HHS distribute the remaining funds immediately and</w:t>
      </w:r>
      <w:r w:rsidRPr="0086594C">
        <w:rPr>
          <w:b/>
          <w:color w:val="212121"/>
          <w:spacing w:val="1"/>
        </w:rPr>
        <w:t xml:space="preserve"> </w:t>
      </w:r>
      <w:r w:rsidRPr="0086594C">
        <w:rPr>
          <w:b/>
          <w:color w:val="212121"/>
        </w:rPr>
        <w:t>replenish</w:t>
      </w:r>
      <w:r w:rsidRPr="0086594C">
        <w:rPr>
          <w:b/>
          <w:color w:val="212121"/>
          <w:spacing w:val="-2"/>
        </w:rPr>
        <w:t xml:space="preserve"> </w:t>
      </w:r>
      <w:r w:rsidRPr="0086594C">
        <w:rPr>
          <w:b/>
          <w:color w:val="212121"/>
        </w:rPr>
        <w:t>the</w:t>
      </w:r>
      <w:r w:rsidRPr="0086594C">
        <w:rPr>
          <w:b/>
          <w:color w:val="212121"/>
          <w:spacing w:val="-2"/>
        </w:rPr>
        <w:t xml:space="preserve"> </w:t>
      </w:r>
      <w:r w:rsidRPr="0086594C">
        <w:rPr>
          <w:b/>
          <w:color w:val="212121"/>
        </w:rPr>
        <w:t>fund</w:t>
      </w:r>
      <w:r w:rsidRPr="0086594C">
        <w:rPr>
          <w:b/>
          <w:color w:val="212121"/>
          <w:spacing w:val="-1"/>
        </w:rPr>
        <w:t xml:space="preserve"> </w:t>
      </w:r>
      <w:r w:rsidRPr="0086594C">
        <w:rPr>
          <w:b/>
          <w:color w:val="212121"/>
        </w:rPr>
        <w:t>to</w:t>
      </w:r>
      <w:r w:rsidRPr="0086594C">
        <w:rPr>
          <w:b/>
          <w:color w:val="212121"/>
          <w:spacing w:val="-2"/>
        </w:rPr>
        <w:t xml:space="preserve"> </w:t>
      </w:r>
      <w:r w:rsidRPr="0086594C">
        <w:rPr>
          <w:b/>
          <w:color w:val="212121"/>
        </w:rPr>
        <w:t>ensure</w:t>
      </w:r>
      <w:r w:rsidRPr="0086594C">
        <w:rPr>
          <w:b/>
          <w:color w:val="212121"/>
          <w:spacing w:val="-2"/>
        </w:rPr>
        <w:t xml:space="preserve"> </w:t>
      </w:r>
      <w:r w:rsidRPr="0086594C">
        <w:rPr>
          <w:b/>
          <w:color w:val="212121"/>
        </w:rPr>
        <w:t>the</w:t>
      </w:r>
      <w:r w:rsidRPr="0086594C">
        <w:rPr>
          <w:b/>
          <w:color w:val="212121"/>
          <w:spacing w:val="-1"/>
        </w:rPr>
        <w:t xml:space="preserve"> </w:t>
      </w:r>
      <w:r w:rsidRPr="0086594C">
        <w:rPr>
          <w:b/>
          <w:color w:val="212121"/>
        </w:rPr>
        <w:t>long-term</w:t>
      </w:r>
      <w:r w:rsidRPr="0086594C">
        <w:rPr>
          <w:b/>
          <w:color w:val="212121"/>
          <w:spacing w:val="-3"/>
        </w:rPr>
        <w:t xml:space="preserve"> </w:t>
      </w:r>
      <w:r w:rsidRPr="0086594C">
        <w:rPr>
          <w:b/>
          <w:color w:val="212121"/>
        </w:rPr>
        <w:t>stability</w:t>
      </w:r>
      <w:r w:rsidRPr="0086594C">
        <w:rPr>
          <w:b/>
          <w:color w:val="212121"/>
          <w:spacing w:val="-1"/>
        </w:rPr>
        <w:t xml:space="preserve"> </w:t>
      </w:r>
      <w:r w:rsidRPr="0086594C">
        <w:rPr>
          <w:b/>
          <w:color w:val="212121"/>
        </w:rPr>
        <w:t>of</w:t>
      </w:r>
      <w:r w:rsidRPr="0086594C">
        <w:rPr>
          <w:b/>
          <w:color w:val="212121"/>
          <w:spacing w:val="-3"/>
        </w:rPr>
        <w:t xml:space="preserve"> </w:t>
      </w:r>
      <w:r w:rsidRPr="0086594C">
        <w:rPr>
          <w:b/>
          <w:color w:val="212121"/>
        </w:rPr>
        <w:t>hospitals.</w:t>
      </w:r>
    </w:p>
    <w:p w14:paraId="4F8DCD58" w14:textId="6B625F93" w:rsidR="0086594C" w:rsidRPr="0086594C" w:rsidRDefault="0086594C" w:rsidP="0086594C">
      <w:pPr>
        <w:pStyle w:val="ListParagraph"/>
        <w:widowControl w:val="0"/>
        <w:numPr>
          <w:ilvl w:val="0"/>
          <w:numId w:val="3"/>
        </w:numPr>
        <w:tabs>
          <w:tab w:val="left" w:pos="820"/>
          <w:tab w:val="left" w:pos="821"/>
        </w:tabs>
        <w:autoSpaceDE w:val="0"/>
        <w:autoSpaceDN w:val="0"/>
        <w:spacing w:before="121" w:after="0" w:line="240" w:lineRule="auto"/>
        <w:ind w:right="482"/>
        <w:contextualSpacing w:val="0"/>
        <w:rPr>
          <w:b/>
        </w:rPr>
      </w:pPr>
      <w:r w:rsidRPr="0086594C">
        <w:rPr>
          <w:i/>
          <w:color w:val="212121"/>
        </w:rPr>
        <w:t xml:space="preserve">Medicare Sequestration: </w:t>
      </w:r>
      <w:r w:rsidRPr="0086594C">
        <w:rPr>
          <w:color w:val="212121"/>
        </w:rPr>
        <w:t>Since the beginning of the pandemic, Congress has blocked a 2% cut in</w:t>
      </w:r>
      <w:r w:rsidRPr="0086594C">
        <w:rPr>
          <w:color w:val="212121"/>
          <w:spacing w:val="1"/>
        </w:rPr>
        <w:t xml:space="preserve"> </w:t>
      </w:r>
      <w:r w:rsidRPr="0086594C">
        <w:rPr>
          <w:color w:val="212121"/>
        </w:rPr>
        <w:t>Medicare payments to providers, but the most recent action blocks the cut only until April 1.</w:t>
      </w:r>
      <w:r w:rsidRPr="0086594C">
        <w:rPr>
          <w:color w:val="212121"/>
          <w:spacing w:val="1"/>
        </w:rPr>
        <w:t xml:space="preserve"> </w:t>
      </w:r>
      <w:r w:rsidRPr="0086594C">
        <w:rPr>
          <w:color w:val="212121"/>
        </w:rPr>
        <w:t>These</w:t>
      </w:r>
      <w:r w:rsidRPr="0086594C">
        <w:rPr>
          <w:color w:val="212121"/>
          <w:spacing w:val="-4"/>
        </w:rPr>
        <w:t xml:space="preserve"> </w:t>
      </w:r>
      <w:r w:rsidRPr="0086594C">
        <w:rPr>
          <w:color w:val="212121"/>
        </w:rPr>
        <w:t>cuts</w:t>
      </w:r>
      <w:r w:rsidRPr="0086594C">
        <w:rPr>
          <w:color w:val="212121"/>
          <w:spacing w:val="-5"/>
        </w:rPr>
        <w:t xml:space="preserve"> </w:t>
      </w:r>
      <w:r w:rsidRPr="0086594C">
        <w:rPr>
          <w:color w:val="212121"/>
        </w:rPr>
        <w:t>could</w:t>
      </w:r>
      <w:r w:rsidRPr="0086594C">
        <w:rPr>
          <w:color w:val="212121"/>
          <w:spacing w:val="-3"/>
        </w:rPr>
        <w:t xml:space="preserve"> </w:t>
      </w:r>
      <w:r w:rsidRPr="0086594C">
        <w:rPr>
          <w:color w:val="212121"/>
        </w:rPr>
        <w:t>cost</w:t>
      </w:r>
      <w:r w:rsidRPr="0086594C">
        <w:rPr>
          <w:color w:val="212121"/>
          <w:spacing w:val="-3"/>
        </w:rPr>
        <w:t xml:space="preserve"> </w:t>
      </w:r>
      <w:r w:rsidRPr="0086594C">
        <w:rPr>
          <w:color w:val="212121"/>
        </w:rPr>
        <w:t>California</w:t>
      </w:r>
      <w:r w:rsidRPr="0086594C">
        <w:rPr>
          <w:color w:val="212121"/>
          <w:spacing w:val="-6"/>
        </w:rPr>
        <w:t xml:space="preserve"> </w:t>
      </w:r>
      <w:r w:rsidRPr="0086594C">
        <w:rPr>
          <w:color w:val="212121"/>
        </w:rPr>
        <w:t>hospitals</w:t>
      </w:r>
      <w:r w:rsidRPr="0086594C">
        <w:rPr>
          <w:color w:val="212121"/>
          <w:spacing w:val="-5"/>
        </w:rPr>
        <w:t xml:space="preserve"> </w:t>
      </w:r>
      <w:r w:rsidRPr="0086594C">
        <w:rPr>
          <w:color w:val="212121"/>
        </w:rPr>
        <w:t>$200</w:t>
      </w:r>
      <w:r w:rsidRPr="0086594C">
        <w:rPr>
          <w:color w:val="212121"/>
          <w:spacing w:val="-3"/>
        </w:rPr>
        <w:t xml:space="preserve"> </w:t>
      </w:r>
      <w:r w:rsidRPr="0086594C">
        <w:rPr>
          <w:color w:val="212121"/>
        </w:rPr>
        <w:t>million</w:t>
      </w:r>
      <w:r w:rsidRPr="0086594C">
        <w:rPr>
          <w:color w:val="212121"/>
          <w:spacing w:val="-4"/>
        </w:rPr>
        <w:t xml:space="preserve"> </w:t>
      </w:r>
      <w:r w:rsidRPr="0086594C">
        <w:rPr>
          <w:color w:val="212121"/>
        </w:rPr>
        <w:t>in</w:t>
      </w:r>
      <w:r w:rsidRPr="0086594C">
        <w:rPr>
          <w:color w:val="212121"/>
          <w:spacing w:val="-4"/>
        </w:rPr>
        <w:t xml:space="preserve"> </w:t>
      </w:r>
      <w:r w:rsidRPr="0086594C">
        <w:rPr>
          <w:color w:val="212121"/>
        </w:rPr>
        <w:t>2022</w:t>
      </w:r>
      <w:r w:rsidRPr="0086594C">
        <w:rPr>
          <w:color w:val="212121"/>
          <w:spacing w:val="-4"/>
        </w:rPr>
        <w:t xml:space="preserve"> </w:t>
      </w:r>
      <w:r w:rsidRPr="0086594C">
        <w:rPr>
          <w:color w:val="212121"/>
        </w:rPr>
        <w:t>alone.</w:t>
      </w:r>
      <w:r w:rsidRPr="0086594C">
        <w:rPr>
          <w:color w:val="212121"/>
          <w:spacing w:val="2"/>
        </w:rPr>
        <w:t xml:space="preserve"> </w:t>
      </w:r>
      <w:r w:rsidRPr="0086594C">
        <w:rPr>
          <w:b/>
          <w:color w:val="212121"/>
        </w:rPr>
        <w:t>Hospitals</w:t>
      </w:r>
      <w:r w:rsidRPr="0086594C">
        <w:rPr>
          <w:b/>
          <w:color w:val="212121"/>
          <w:spacing w:val="-3"/>
        </w:rPr>
        <w:t xml:space="preserve"> </w:t>
      </w:r>
      <w:r w:rsidRPr="0086594C">
        <w:rPr>
          <w:b/>
          <w:color w:val="212121"/>
        </w:rPr>
        <w:t>need</w:t>
      </w:r>
      <w:r w:rsidRPr="0086594C">
        <w:rPr>
          <w:b/>
          <w:color w:val="212121"/>
          <w:spacing w:val="-3"/>
        </w:rPr>
        <w:t xml:space="preserve"> </w:t>
      </w:r>
      <w:r w:rsidRPr="0086594C">
        <w:rPr>
          <w:b/>
          <w:color w:val="212121"/>
        </w:rPr>
        <w:t>Congress</w:t>
      </w:r>
      <w:r w:rsidRPr="0086594C">
        <w:rPr>
          <w:b/>
          <w:color w:val="212121"/>
          <w:spacing w:val="-4"/>
        </w:rPr>
        <w:t xml:space="preserve"> </w:t>
      </w:r>
      <w:r w:rsidRPr="0086594C">
        <w:rPr>
          <w:b/>
          <w:color w:val="212121"/>
        </w:rPr>
        <w:t>to</w:t>
      </w:r>
      <w:r w:rsidR="00D10DB8">
        <w:rPr>
          <w:b/>
          <w:color w:val="212121"/>
        </w:rPr>
        <w:t xml:space="preserve"> </w:t>
      </w:r>
      <w:r w:rsidRPr="0086594C">
        <w:rPr>
          <w:b/>
          <w:color w:val="212121"/>
          <w:spacing w:val="-44"/>
        </w:rPr>
        <w:t xml:space="preserve"> </w:t>
      </w:r>
      <w:r w:rsidRPr="0086594C">
        <w:rPr>
          <w:b/>
          <w:color w:val="212121"/>
        </w:rPr>
        <w:t>block the cuts</w:t>
      </w:r>
      <w:r w:rsidRPr="0086594C">
        <w:rPr>
          <w:b/>
          <w:color w:val="212121"/>
          <w:spacing w:val="-1"/>
        </w:rPr>
        <w:t xml:space="preserve"> </w:t>
      </w:r>
      <w:r w:rsidRPr="0086594C">
        <w:rPr>
          <w:b/>
          <w:color w:val="212121"/>
        </w:rPr>
        <w:t>until the</w:t>
      </w:r>
      <w:r w:rsidRPr="0086594C">
        <w:rPr>
          <w:b/>
          <w:color w:val="212121"/>
          <w:spacing w:val="-2"/>
        </w:rPr>
        <w:t xml:space="preserve"> </w:t>
      </w:r>
      <w:r w:rsidRPr="0086594C">
        <w:rPr>
          <w:b/>
          <w:color w:val="212121"/>
        </w:rPr>
        <w:t>end of</w:t>
      </w:r>
      <w:r w:rsidRPr="0086594C">
        <w:rPr>
          <w:b/>
          <w:color w:val="212121"/>
          <w:spacing w:val="-3"/>
        </w:rPr>
        <w:t xml:space="preserve"> </w:t>
      </w:r>
      <w:r w:rsidRPr="0086594C">
        <w:rPr>
          <w:b/>
          <w:color w:val="212121"/>
        </w:rPr>
        <w:t>the</w:t>
      </w:r>
      <w:r w:rsidRPr="0086594C">
        <w:rPr>
          <w:b/>
          <w:color w:val="212121"/>
          <w:spacing w:val="-1"/>
        </w:rPr>
        <w:t xml:space="preserve"> </w:t>
      </w:r>
      <w:r w:rsidRPr="0086594C">
        <w:rPr>
          <w:b/>
          <w:color w:val="212121"/>
        </w:rPr>
        <w:t>public</w:t>
      </w:r>
      <w:r w:rsidRPr="0086594C">
        <w:rPr>
          <w:b/>
          <w:color w:val="212121"/>
          <w:spacing w:val="-1"/>
        </w:rPr>
        <w:t xml:space="preserve"> </w:t>
      </w:r>
      <w:r w:rsidRPr="0086594C">
        <w:rPr>
          <w:b/>
          <w:color w:val="212121"/>
        </w:rPr>
        <w:t>health</w:t>
      </w:r>
      <w:r w:rsidRPr="0086594C">
        <w:rPr>
          <w:b/>
          <w:color w:val="212121"/>
          <w:spacing w:val="-2"/>
        </w:rPr>
        <w:t xml:space="preserve"> </w:t>
      </w:r>
      <w:r w:rsidRPr="0086594C">
        <w:rPr>
          <w:b/>
          <w:color w:val="212121"/>
        </w:rPr>
        <w:t>emergency.</w:t>
      </w:r>
    </w:p>
    <w:p w14:paraId="0E0B971E" w14:textId="77777777" w:rsidR="0086594C" w:rsidRPr="0086594C" w:rsidRDefault="0086594C" w:rsidP="0086594C">
      <w:pPr>
        <w:pStyle w:val="ListParagraph"/>
        <w:widowControl w:val="0"/>
        <w:numPr>
          <w:ilvl w:val="0"/>
          <w:numId w:val="3"/>
        </w:numPr>
        <w:tabs>
          <w:tab w:val="left" w:pos="820"/>
          <w:tab w:val="left" w:pos="821"/>
        </w:tabs>
        <w:autoSpaceDE w:val="0"/>
        <w:autoSpaceDN w:val="0"/>
        <w:spacing w:before="119" w:after="0" w:line="240" w:lineRule="auto"/>
        <w:ind w:right="567"/>
        <w:contextualSpacing w:val="0"/>
        <w:rPr>
          <w:b/>
        </w:rPr>
      </w:pPr>
      <w:r w:rsidRPr="0086594C">
        <w:rPr>
          <w:i/>
          <w:color w:val="212121"/>
        </w:rPr>
        <w:t xml:space="preserve">Loan Repayment: </w:t>
      </w:r>
      <w:r w:rsidRPr="0086594C">
        <w:rPr>
          <w:color w:val="212121"/>
        </w:rPr>
        <w:t>At the beginning of the pandemic Congress provided for Medicare Accelerated</w:t>
      </w:r>
      <w:r w:rsidRPr="0086594C">
        <w:rPr>
          <w:color w:val="212121"/>
          <w:spacing w:val="-50"/>
        </w:rPr>
        <w:t xml:space="preserve"> </w:t>
      </w:r>
      <w:r w:rsidRPr="0086594C">
        <w:rPr>
          <w:color w:val="212121"/>
        </w:rPr>
        <w:t xml:space="preserve">and Advance Payments, or short-term loans. Those loans are now coming due. </w:t>
      </w:r>
      <w:r w:rsidRPr="0086594C">
        <w:rPr>
          <w:b/>
          <w:color w:val="212121"/>
        </w:rPr>
        <w:t>Many hospitals</w:t>
      </w:r>
      <w:r w:rsidRPr="0086594C">
        <w:rPr>
          <w:b/>
          <w:color w:val="212121"/>
          <w:spacing w:val="1"/>
        </w:rPr>
        <w:t xml:space="preserve"> </w:t>
      </w:r>
      <w:r w:rsidRPr="0086594C">
        <w:rPr>
          <w:b/>
          <w:color w:val="212121"/>
        </w:rPr>
        <w:t>need</w:t>
      </w:r>
      <w:r w:rsidRPr="0086594C">
        <w:rPr>
          <w:b/>
          <w:color w:val="212121"/>
          <w:spacing w:val="-3"/>
        </w:rPr>
        <w:t xml:space="preserve"> </w:t>
      </w:r>
      <w:r w:rsidRPr="0086594C">
        <w:rPr>
          <w:b/>
          <w:color w:val="212121"/>
        </w:rPr>
        <w:t>additional</w:t>
      </w:r>
      <w:r w:rsidRPr="0086594C">
        <w:rPr>
          <w:b/>
          <w:color w:val="212121"/>
          <w:spacing w:val="1"/>
        </w:rPr>
        <w:t xml:space="preserve"> </w:t>
      </w:r>
      <w:r w:rsidRPr="0086594C">
        <w:rPr>
          <w:b/>
          <w:color w:val="212121"/>
        </w:rPr>
        <w:t>time</w:t>
      </w:r>
      <w:r w:rsidRPr="0086594C">
        <w:rPr>
          <w:b/>
          <w:color w:val="212121"/>
          <w:spacing w:val="-2"/>
        </w:rPr>
        <w:t xml:space="preserve"> </w:t>
      </w:r>
      <w:r w:rsidRPr="0086594C">
        <w:rPr>
          <w:b/>
          <w:color w:val="212121"/>
        </w:rPr>
        <w:t>to</w:t>
      </w:r>
      <w:r w:rsidRPr="0086594C">
        <w:rPr>
          <w:b/>
          <w:color w:val="212121"/>
          <w:spacing w:val="-1"/>
        </w:rPr>
        <w:t xml:space="preserve"> </w:t>
      </w:r>
      <w:r w:rsidRPr="0086594C">
        <w:rPr>
          <w:b/>
          <w:color w:val="212121"/>
        </w:rPr>
        <w:t>make their</w:t>
      </w:r>
      <w:r w:rsidRPr="0086594C">
        <w:rPr>
          <w:b/>
          <w:color w:val="212121"/>
          <w:spacing w:val="-1"/>
        </w:rPr>
        <w:t xml:space="preserve"> </w:t>
      </w:r>
      <w:r w:rsidRPr="0086594C">
        <w:rPr>
          <w:b/>
          <w:color w:val="212121"/>
        </w:rPr>
        <w:t>repayments.</w:t>
      </w:r>
    </w:p>
    <w:p w14:paraId="6DB10DD2" w14:textId="77777777" w:rsidR="0086594C" w:rsidRPr="0086594C" w:rsidRDefault="0086594C" w:rsidP="0086594C">
      <w:pPr>
        <w:pStyle w:val="BodyText"/>
        <w:spacing w:before="7"/>
        <w:rPr>
          <w:b/>
        </w:rPr>
      </w:pPr>
    </w:p>
    <w:p w14:paraId="5F648228" w14:textId="19BD6852" w:rsidR="003929B4" w:rsidRPr="003929B4" w:rsidRDefault="0086594C" w:rsidP="0086594C">
      <w:pPr>
        <w:pStyle w:val="BodyText"/>
        <w:spacing w:line="279" w:lineRule="exact"/>
        <w:ind w:left="100"/>
      </w:pPr>
      <w:r w:rsidRPr="0086594C">
        <w:t>People</w:t>
      </w:r>
      <w:r w:rsidRPr="0086594C">
        <w:rPr>
          <w:spacing w:val="-4"/>
        </w:rPr>
        <w:t xml:space="preserve"> </w:t>
      </w:r>
      <w:r w:rsidRPr="0086594C">
        <w:t>in</w:t>
      </w:r>
      <w:r w:rsidRPr="0086594C">
        <w:rPr>
          <w:spacing w:val="-3"/>
        </w:rPr>
        <w:t xml:space="preserve"> </w:t>
      </w:r>
      <w:r w:rsidRPr="0086594C">
        <w:t>need</w:t>
      </w:r>
      <w:r w:rsidRPr="0086594C">
        <w:rPr>
          <w:spacing w:val="-1"/>
        </w:rPr>
        <w:t xml:space="preserve"> </w:t>
      </w:r>
      <w:r w:rsidRPr="0086594C">
        <w:t>will always</w:t>
      </w:r>
      <w:r w:rsidRPr="0086594C">
        <w:rPr>
          <w:spacing w:val="-1"/>
        </w:rPr>
        <w:t xml:space="preserve"> </w:t>
      </w:r>
      <w:r w:rsidRPr="0086594C">
        <w:t>turn</w:t>
      </w:r>
      <w:r w:rsidRPr="0086594C">
        <w:rPr>
          <w:spacing w:val="-1"/>
        </w:rPr>
        <w:t xml:space="preserve"> </w:t>
      </w:r>
      <w:r w:rsidRPr="0086594C">
        <w:t>to</w:t>
      </w:r>
      <w:r w:rsidRPr="0086594C">
        <w:rPr>
          <w:spacing w:val="-3"/>
        </w:rPr>
        <w:t xml:space="preserve"> </w:t>
      </w:r>
      <w:r w:rsidRPr="0086594C">
        <w:t>hospitals</w:t>
      </w:r>
      <w:r w:rsidRPr="0086594C">
        <w:rPr>
          <w:spacing w:val="-3"/>
        </w:rPr>
        <w:t xml:space="preserve"> </w:t>
      </w:r>
      <w:r w:rsidRPr="0086594C">
        <w:t>for</w:t>
      </w:r>
      <w:r w:rsidRPr="0086594C">
        <w:rPr>
          <w:spacing w:val="-4"/>
        </w:rPr>
        <w:t xml:space="preserve"> </w:t>
      </w:r>
      <w:r w:rsidRPr="0086594C">
        <w:t>help.</w:t>
      </w:r>
      <w:r w:rsidRPr="0086594C">
        <w:rPr>
          <w:spacing w:val="-2"/>
        </w:rPr>
        <w:t xml:space="preserve"> </w:t>
      </w:r>
      <w:r w:rsidRPr="0086594C">
        <w:t>The</w:t>
      </w:r>
      <w:r w:rsidRPr="0086594C">
        <w:rPr>
          <w:spacing w:val="-2"/>
        </w:rPr>
        <w:t xml:space="preserve"> </w:t>
      </w:r>
      <w:r w:rsidRPr="0086594C">
        <w:t>reality</w:t>
      </w:r>
      <w:r w:rsidRPr="0086594C">
        <w:rPr>
          <w:spacing w:val="-3"/>
        </w:rPr>
        <w:t xml:space="preserve"> </w:t>
      </w:r>
      <w:r w:rsidRPr="0086594C">
        <w:t>that</w:t>
      </w:r>
      <w:r w:rsidRPr="0086594C">
        <w:rPr>
          <w:spacing w:val="-5"/>
        </w:rPr>
        <w:t xml:space="preserve"> </w:t>
      </w:r>
      <w:r w:rsidRPr="0086594C">
        <w:t>hospitals</w:t>
      </w:r>
      <w:r w:rsidRPr="0086594C">
        <w:rPr>
          <w:spacing w:val="-1"/>
        </w:rPr>
        <w:t xml:space="preserve"> </w:t>
      </w:r>
      <w:r w:rsidRPr="0086594C">
        <w:t>must</w:t>
      </w:r>
      <w:r w:rsidRPr="0086594C">
        <w:rPr>
          <w:spacing w:val="-4"/>
        </w:rPr>
        <w:t xml:space="preserve"> </w:t>
      </w:r>
      <w:r w:rsidRPr="0086594C">
        <w:t>care</w:t>
      </w:r>
      <w:r w:rsidRPr="0086594C">
        <w:rPr>
          <w:spacing w:val="-2"/>
        </w:rPr>
        <w:t xml:space="preserve"> </w:t>
      </w:r>
      <w:r w:rsidRPr="0086594C">
        <w:t>for</w:t>
      </w:r>
      <w:r w:rsidRPr="0086594C">
        <w:rPr>
          <w:spacing w:val="-3"/>
        </w:rPr>
        <w:t xml:space="preserve"> </w:t>
      </w:r>
      <w:r w:rsidRPr="0086594C">
        <w:t>their</w:t>
      </w:r>
      <w:r w:rsidRPr="0086594C">
        <w:rPr>
          <w:spacing w:val="-1"/>
        </w:rPr>
        <w:t xml:space="preserve"> </w:t>
      </w:r>
      <w:r w:rsidRPr="0086594C">
        <w:t>patients — 24 hours a day, seven days a week — has not changed. Hospitals remain committed, first and foremost,</w:t>
      </w:r>
      <w:r w:rsidRPr="0086594C">
        <w:rPr>
          <w:spacing w:val="-49"/>
        </w:rPr>
        <w:t xml:space="preserve"> </w:t>
      </w:r>
      <w:r w:rsidRPr="0086594C">
        <w:t>to</w:t>
      </w:r>
      <w:r w:rsidRPr="0086594C">
        <w:rPr>
          <w:spacing w:val="-2"/>
        </w:rPr>
        <w:t xml:space="preserve"> </w:t>
      </w:r>
      <w:r w:rsidRPr="0086594C">
        <w:t>ensuring</w:t>
      </w:r>
      <w:r w:rsidRPr="0086594C">
        <w:rPr>
          <w:spacing w:val="-2"/>
        </w:rPr>
        <w:t xml:space="preserve"> </w:t>
      </w:r>
      <w:r w:rsidRPr="0086594C">
        <w:t>care</w:t>
      </w:r>
      <w:r w:rsidRPr="0086594C">
        <w:rPr>
          <w:spacing w:val="-3"/>
        </w:rPr>
        <w:t xml:space="preserve"> </w:t>
      </w:r>
      <w:r w:rsidRPr="0086594C">
        <w:t>is available</w:t>
      </w:r>
      <w:r w:rsidRPr="0086594C">
        <w:rPr>
          <w:spacing w:val="-1"/>
        </w:rPr>
        <w:t xml:space="preserve"> </w:t>
      </w:r>
      <w:r w:rsidRPr="0086594C">
        <w:t>in</w:t>
      </w:r>
      <w:r w:rsidRPr="0086594C">
        <w:rPr>
          <w:spacing w:val="1"/>
        </w:rPr>
        <w:t xml:space="preserve"> </w:t>
      </w:r>
      <w:r w:rsidRPr="0086594C">
        <w:t>their</w:t>
      </w:r>
      <w:r w:rsidRPr="0086594C">
        <w:rPr>
          <w:spacing w:val="-1"/>
        </w:rPr>
        <w:t xml:space="preserve"> </w:t>
      </w:r>
      <w:r w:rsidRPr="0086594C">
        <w:t>communities</w:t>
      </w:r>
      <w:r w:rsidRPr="0086594C">
        <w:rPr>
          <w:spacing w:val="-2"/>
        </w:rPr>
        <w:t xml:space="preserve"> </w:t>
      </w:r>
      <w:r w:rsidRPr="0086594C">
        <w:t>and</w:t>
      </w:r>
      <w:r w:rsidRPr="0086594C">
        <w:rPr>
          <w:spacing w:val="-1"/>
        </w:rPr>
        <w:t xml:space="preserve"> </w:t>
      </w:r>
      <w:r w:rsidRPr="0086594C">
        <w:t>to</w:t>
      </w:r>
      <w:r w:rsidRPr="0086594C">
        <w:rPr>
          <w:spacing w:val="-2"/>
        </w:rPr>
        <w:t xml:space="preserve"> </w:t>
      </w:r>
      <w:r w:rsidRPr="0086594C">
        <w:t>the</w:t>
      </w:r>
      <w:r w:rsidRPr="0086594C">
        <w:rPr>
          <w:spacing w:val="-2"/>
        </w:rPr>
        <w:t xml:space="preserve"> </w:t>
      </w:r>
      <w:r w:rsidRPr="0086594C">
        <w:t>safety of</w:t>
      </w:r>
      <w:r w:rsidRPr="0086594C">
        <w:rPr>
          <w:spacing w:val="1"/>
        </w:rPr>
        <w:t xml:space="preserve"> </w:t>
      </w:r>
      <w:r w:rsidRPr="0086594C">
        <w:t>patients and</w:t>
      </w:r>
      <w:r w:rsidRPr="0086594C">
        <w:rPr>
          <w:spacing w:val="-3"/>
        </w:rPr>
        <w:t xml:space="preserve"> </w:t>
      </w:r>
      <w:r w:rsidRPr="0086594C">
        <w:t>staff.</w:t>
      </w:r>
    </w:p>
    <w:p w14:paraId="5186D173" w14:textId="77777777" w:rsidR="003929B4" w:rsidRPr="0086594C" w:rsidRDefault="003929B4" w:rsidP="003929B4">
      <w:pPr>
        <w:pStyle w:val="paragraph"/>
        <w:spacing w:before="0" w:beforeAutospacing="0" w:after="0" w:afterAutospacing="0"/>
        <w:textAlignment w:val="baseline"/>
        <w:rPr>
          <w:rFonts w:ascii="Seaford" w:eastAsiaTheme="minorHAnsi" w:hAnsi="Seaford" w:cs="Seaford"/>
          <w:color w:val="000000"/>
          <w:sz w:val="22"/>
          <w:szCs w:val="22"/>
        </w:rPr>
      </w:pPr>
    </w:p>
    <w:p w14:paraId="54155002" w14:textId="12BDC68C" w:rsidR="000F4598" w:rsidRPr="0086594C" w:rsidRDefault="003929B4" w:rsidP="003929B4">
      <w:pPr>
        <w:pStyle w:val="paragraph"/>
        <w:spacing w:before="0" w:beforeAutospacing="0" w:after="0" w:afterAutospacing="0"/>
        <w:textAlignment w:val="baseline"/>
        <w:rPr>
          <w:rStyle w:val="normaltextrun"/>
          <w:rFonts w:ascii="Seaford" w:hAnsi="Seaford" w:cs="Segoe UI"/>
          <w:color w:val="000000" w:themeColor="text1"/>
          <w:sz w:val="22"/>
          <w:szCs w:val="22"/>
        </w:rPr>
      </w:pPr>
      <w:r w:rsidRPr="0086594C">
        <w:rPr>
          <w:rFonts w:ascii="Seaford" w:eastAsiaTheme="minorHAnsi" w:hAnsi="Seaford" w:cs="Seaford"/>
          <w:color w:val="000000"/>
          <w:sz w:val="22"/>
          <w:szCs w:val="22"/>
          <w:highlight w:val="yellow"/>
        </w:rPr>
        <w:t>(Hospital Name)</w:t>
      </w:r>
      <w:r w:rsidRPr="0086594C">
        <w:rPr>
          <w:rFonts w:ascii="Seaford" w:eastAsiaTheme="minorHAnsi" w:hAnsi="Seaford" w:cs="Seaford"/>
          <w:color w:val="000000"/>
          <w:sz w:val="22"/>
          <w:szCs w:val="22"/>
        </w:rPr>
        <w:t xml:space="preserve"> thanks you for your leadership in protecting Californians — those who need care and those who care for them. We ask that you </w:t>
      </w:r>
      <w:proofErr w:type="gramStart"/>
      <w:r w:rsidRPr="0086594C">
        <w:rPr>
          <w:rFonts w:ascii="Seaford" w:eastAsiaTheme="minorHAnsi" w:hAnsi="Seaford" w:cs="Seaford"/>
          <w:color w:val="000000"/>
          <w:sz w:val="22"/>
          <w:szCs w:val="22"/>
        </w:rPr>
        <w:t>take action</w:t>
      </w:r>
      <w:proofErr w:type="gramEnd"/>
      <w:r w:rsidRPr="0086594C">
        <w:rPr>
          <w:rFonts w:ascii="Seaford" w:eastAsiaTheme="minorHAnsi" w:hAnsi="Seaford" w:cs="Seaford"/>
          <w:color w:val="000000"/>
          <w:sz w:val="22"/>
          <w:szCs w:val="22"/>
        </w:rPr>
        <w:t xml:space="preserve"> to further protect our state by supporting the hospitals and health care workers who care for all of us as we endure yet another season of the COVID-19 pandemic.</w:t>
      </w:r>
    </w:p>
    <w:p w14:paraId="5CD79552" w14:textId="15769E83" w:rsidR="000F4598" w:rsidRPr="0086594C" w:rsidRDefault="000F4598" w:rsidP="000F4598">
      <w:pPr>
        <w:pStyle w:val="paragraph"/>
        <w:spacing w:before="0" w:beforeAutospacing="0" w:after="0" w:afterAutospacing="0"/>
        <w:textAlignment w:val="baseline"/>
        <w:rPr>
          <w:rFonts w:ascii="Seaford" w:hAnsi="Seaford"/>
          <w:sz w:val="22"/>
          <w:szCs w:val="22"/>
        </w:rPr>
      </w:pPr>
    </w:p>
    <w:p w14:paraId="5588570F" w14:textId="4C33AC3A" w:rsidR="000F4598" w:rsidRPr="0086594C" w:rsidRDefault="0086594C" w:rsidP="000F4598">
      <w:pPr>
        <w:pStyle w:val="NoSpacing"/>
        <w:rPr>
          <w:rFonts w:ascii="Seaford" w:hAnsi="Seaford"/>
        </w:rPr>
      </w:pPr>
      <w:r w:rsidRPr="0086594C">
        <w:rPr>
          <w:rFonts w:ascii="Seaford" w:hAnsi="Seaford"/>
        </w:rPr>
        <w:t>Sincerely,</w:t>
      </w:r>
    </w:p>
    <w:p w14:paraId="75631BE3" w14:textId="77777777" w:rsidR="0086594C" w:rsidRPr="0086594C" w:rsidRDefault="0086594C" w:rsidP="000F4598">
      <w:pPr>
        <w:pStyle w:val="NoSpacing"/>
        <w:rPr>
          <w:rFonts w:ascii="Seaford" w:hAnsi="Seaford"/>
        </w:rPr>
      </w:pPr>
    </w:p>
    <w:p w14:paraId="6A80C658" w14:textId="77777777" w:rsidR="000F4598" w:rsidRPr="0086594C" w:rsidRDefault="000F4598" w:rsidP="000F4598">
      <w:pPr>
        <w:pStyle w:val="NoSpacing"/>
        <w:rPr>
          <w:rFonts w:ascii="Seaford" w:hAnsi="Seaford"/>
        </w:rPr>
      </w:pPr>
      <w:r w:rsidRPr="0086594C">
        <w:rPr>
          <w:rFonts w:ascii="Seaford" w:hAnsi="Seaford"/>
          <w:highlight w:val="yellow"/>
        </w:rPr>
        <w:t>Name and Title</w:t>
      </w:r>
    </w:p>
    <w:p w14:paraId="3BAD8BB3" w14:textId="77777777" w:rsidR="000F4598" w:rsidRDefault="000F4598"/>
    <w:sectPr w:rsidR="000F459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9ABEF3" w14:textId="77777777" w:rsidR="000F4598" w:rsidRDefault="000F4598" w:rsidP="000F4598">
      <w:pPr>
        <w:spacing w:after="0" w:line="240" w:lineRule="auto"/>
      </w:pPr>
      <w:r>
        <w:separator/>
      </w:r>
    </w:p>
  </w:endnote>
  <w:endnote w:type="continuationSeparator" w:id="0">
    <w:p w14:paraId="1708511E" w14:textId="77777777" w:rsidR="000F4598" w:rsidRDefault="000F4598" w:rsidP="000F45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aford">
    <w:altName w:val="Seaford"/>
    <w:panose1 w:val="020B0502030303020204"/>
    <w:charset w:val="00"/>
    <w:family w:val="swiss"/>
    <w:pitch w:val="variable"/>
    <w:sig w:usb0="80000003" w:usb1="00000001" w:usb2="00000000" w:usb3="00000000" w:csb0="00000001" w:csb1="00000000"/>
  </w:font>
  <w:font w:name="Calibri">
    <w:altName w:val="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DBB103" w14:textId="77777777" w:rsidR="000F4598" w:rsidRDefault="000F4598" w:rsidP="000F4598">
      <w:pPr>
        <w:spacing w:after="0" w:line="240" w:lineRule="auto"/>
      </w:pPr>
      <w:r>
        <w:separator/>
      </w:r>
    </w:p>
  </w:footnote>
  <w:footnote w:type="continuationSeparator" w:id="0">
    <w:p w14:paraId="77E113EE" w14:textId="77777777" w:rsidR="000F4598" w:rsidRDefault="000F4598" w:rsidP="000F45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582B2"/>
    <w:multiLevelType w:val="hybridMultilevel"/>
    <w:tmpl w:val="FE5E783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F2000D8"/>
    <w:multiLevelType w:val="hybridMultilevel"/>
    <w:tmpl w:val="32066E58"/>
    <w:lvl w:ilvl="0" w:tplc="04090001">
      <w:start w:val="1"/>
      <w:numFmt w:val="bullet"/>
      <w:lvlText w:val=""/>
      <w:lvlJc w:val="left"/>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C077B5"/>
    <w:multiLevelType w:val="hybridMultilevel"/>
    <w:tmpl w:val="5516920E"/>
    <w:lvl w:ilvl="0" w:tplc="8A960F7C">
      <w:numFmt w:val="bullet"/>
      <w:lvlText w:val=""/>
      <w:lvlJc w:val="left"/>
      <w:pPr>
        <w:ind w:left="820" w:hanging="360"/>
      </w:pPr>
      <w:rPr>
        <w:rFonts w:ascii="Symbol" w:eastAsia="Symbol" w:hAnsi="Symbol" w:cs="Symbol" w:hint="default"/>
        <w:b w:val="0"/>
        <w:bCs w:val="0"/>
        <w:i w:val="0"/>
        <w:iCs w:val="0"/>
        <w:color w:val="212121"/>
        <w:w w:val="100"/>
        <w:sz w:val="22"/>
        <w:szCs w:val="22"/>
        <w:lang w:val="en-US" w:eastAsia="en-US" w:bidi="ar-SA"/>
      </w:rPr>
    </w:lvl>
    <w:lvl w:ilvl="1" w:tplc="6FFC9FD2">
      <w:numFmt w:val="bullet"/>
      <w:lvlText w:val="•"/>
      <w:lvlJc w:val="left"/>
      <w:pPr>
        <w:ind w:left="1800" w:hanging="360"/>
      </w:pPr>
      <w:rPr>
        <w:rFonts w:hint="default"/>
        <w:lang w:val="en-US" w:eastAsia="en-US" w:bidi="ar-SA"/>
      </w:rPr>
    </w:lvl>
    <w:lvl w:ilvl="2" w:tplc="D0B8BA8A">
      <w:numFmt w:val="bullet"/>
      <w:lvlText w:val="•"/>
      <w:lvlJc w:val="left"/>
      <w:pPr>
        <w:ind w:left="2780" w:hanging="360"/>
      </w:pPr>
      <w:rPr>
        <w:rFonts w:hint="default"/>
        <w:lang w:val="en-US" w:eastAsia="en-US" w:bidi="ar-SA"/>
      </w:rPr>
    </w:lvl>
    <w:lvl w:ilvl="3" w:tplc="D21AAB90">
      <w:numFmt w:val="bullet"/>
      <w:lvlText w:val="•"/>
      <w:lvlJc w:val="left"/>
      <w:pPr>
        <w:ind w:left="3760" w:hanging="360"/>
      </w:pPr>
      <w:rPr>
        <w:rFonts w:hint="default"/>
        <w:lang w:val="en-US" w:eastAsia="en-US" w:bidi="ar-SA"/>
      </w:rPr>
    </w:lvl>
    <w:lvl w:ilvl="4" w:tplc="443C0A66">
      <w:numFmt w:val="bullet"/>
      <w:lvlText w:val="•"/>
      <w:lvlJc w:val="left"/>
      <w:pPr>
        <w:ind w:left="4740" w:hanging="360"/>
      </w:pPr>
      <w:rPr>
        <w:rFonts w:hint="default"/>
        <w:lang w:val="en-US" w:eastAsia="en-US" w:bidi="ar-SA"/>
      </w:rPr>
    </w:lvl>
    <w:lvl w:ilvl="5" w:tplc="6F1CFD8A">
      <w:numFmt w:val="bullet"/>
      <w:lvlText w:val="•"/>
      <w:lvlJc w:val="left"/>
      <w:pPr>
        <w:ind w:left="5720" w:hanging="360"/>
      </w:pPr>
      <w:rPr>
        <w:rFonts w:hint="default"/>
        <w:lang w:val="en-US" w:eastAsia="en-US" w:bidi="ar-SA"/>
      </w:rPr>
    </w:lvl>
    <w:lvl w:ilvl="6" w:tplc="54B4D3F2">
      <w:numFmt w:val="bullet"/>
      <w:lvlText w:val="•"/>
      <w:lvlJc w:val="left"/>
      <w:pPr>
        <w:ind w:left="6700" w:hanging="360"/>
      </w:pPr>
      <w:rPr>
        <w:rFonts w:hint="default"/>
        <w:lang w:val="en-US" w:eastAsia="en-US" w:bidi="ar-SA"/>
      </w:rPr>
    </w:lvl>
    <w:lvl w:ilvl="7" w:tplc="94027FB6">
      <w:numFmt w:val="bullet"/>
      <w:lvlText w:val="•"/>
      <w:lvlJc w:val="left"/>
      <w:pPr>
        <w:ind w:left="7680" w:hanging="360"/>
      </w:pPr>
      <w:rPr>
        <w:rFonts w:hint="default"/>
        <w:lang w:val="en-US" w:eastAsia="en-US" w:bidi="ar-SA"/>
      </w:rPr>
    </w:lvl>
    <w:lvl w:ilvl="8" w:tplc="C81EA77A">
      <w:numFmt w:val="bullet"/>
      <w:lvlText w:val="•"/>
      <w:lvlJc w:val="left"/>
      <w:pPr>
        <w:ind w:left="8660" w:hanging="360"/>
      </w:pPr>
      <w:rPr>
        <w:rFonts w:hint="default"/>
        <w:lang w:val="en-US" w:eastAsia="en-US" w:bidi="ar-S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598"/>
    <w:rsid w:val="000F4598"/>
    <w:rsid w:val="002C2873"/>
    <w:rsid w:val="003929B4"/>
    <w:rsid w:val="00601CC7"/>
    <w:rsid w:val="0086594C"/>
    <w:rsid w:val="00D10D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D2417"/>
  <w15:chartTrackingRefBased/>
  <w15:docId w15:val="{8082ECC5-99B9-458F-ADA2-AD6EA6891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eaford" w:eastAsiaTheme="minorHAnsi" w:hAnsi="Seaford"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F4598"/>
    <w:pPr>
      <w:spacing w:after="0" w:line="240" w:lineRule="auto"/>
    </w:pPr>
    <w:rPr>
      <w:rFonts w:asciiTheme="minorHAnsi" w:hAnsiTheme="minorHAnsi"/>
    </w:rPr>
  </w:style>
  <w:style w:type="paragraph" w:customStyle="1" w:styleId="paragraph">
    <w:name w:val="paragraph"/>
    <w:basedOn w:val="Normal"/>
    <w:rsid w:val="000F459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0F4598"/>
  </w:style>
  <w:style w:type="character" w:customStyle="1" w:styleId="eop">
    <w:name w:val="eop"/>
    <w:basedOn w:val="DefaultParagraphFont"/>
    <w:rsid w:val="000F4598"/>
  </w:style>
  <w:style w:type="paragraph" w:styleId="FootnoteText">
    <w:name w:val="footnote text"/>
    <w:basedOn w:val="Normal"/>
    <w:link w:val="FootnoteTextChar"/>
    <w:uiPriority w:val="99"/>
    <w:semiHidden/>
    <w:unhideWhenUsed/>
    <w:rsid w:val="000F4598"/>
    <w:pPr>
      <w:spacing w:after="0" w:line="240" w:lineRule="auto"/>
    </w:pPr>
    <w:rPr>
      <w:rFonts w:asciiTheme="minorHAnsi" w:hAnsiTheme="minorHAnsi"/>
      <w:sz w:val="20"/>
      <w:szCs w:val="20"/>
    </w:rPr>
  </w:style>
  <w:style w:type="character" w:customStyle="1" w:styleId="FootnoteTextChar">
    <w:name w:val="Footnote Text Char"/>
    <w:basedOn w:val="DefaultParagraphFont"/>
    <w:link w:val="FootnoteText"/>
    <w:uiPriority w:val="99"/>
    <w:semiHidden/>
    <w:rsid w:val="000F4598"/>
    <w:rPr>
      <w:rFonts w:asciiTheme="minorHAnsi" w:hAnsiTheme="minorHAnsi"/>
      <w:sz w:val="20"/>
      <w:szCs w:val="20"/>
    </w:rPr>
  </w:style>
  <w:style w:type="character" w:styleId="FootnoteReference">
    <w:name w:val="footnote reference"/>
    <w:basedOn w:val="DefaultParagraphFont"/>
    <w:uiPriority w:val="99"/>
    <w:semiHidden/>
    <w:unhideWhenUsed/>
    <w:rsid w:val="000F4598"/>
    <w:rPr>
      <w:vertAlign w:val="superscript"/>
    </w:rPr>
  </w:style>
  <w:style w:type="character" w:styleId="Hyperlink">
    <w:name w:val="Hyperlink"/>
    <w:basedOn w:val="DefaultParagraphFont"/>
    <w:uiPriority w:val="99"/>
    <w:unhideWhenUsed/>
    <w:rsid w:val="000F4598"/>
    <w:rPr>
      <w:color w:val="0563C1" w:themeColor="hyperlink"/>
      <w:u w:val="single"/>
    </w:rPr>
  </w:style>
  <w:style w:type="paragraph" w:customStyle="1" w:styleId="Default">
    <w:name w:val="Default"/>
    <w:rsid w:val="000F4598"/>
    <w:pPr>
      <w:autoSpaceDE w:val="0"/>
      <w:autoSpaceDN w:val="0"/>
      <w:adjustRightInd w:val="0"/>
      <w:spacing w:after="0" w:line="240" w:lineRule="auto"/>
    </w:pPr>
    <w:rPr>
      <w:rFonts w:cs="Seaford"/>
      <w:color w:val="000000"/>
      <w:sz w:val="24"/>
      <w:szCs w:val="24"/>
    </w:rPr>
  </w:style>
  <w:style w:type="paragraph" w:styleId="ListParagraph">
    <w:name w:val="List Paragraph"/>
    <w:basedOn w:val="Normal"/>
    <w:uiPriority w:val="1"/>
    <w:qFormat/>
    <w:rsid w:val="003929B4"/>
    <w:pPr>
      <w:ind w:left="720"/>
      <w:contextualSpacing/>
    </w:pPr>
  </w:style>
  <w:style w:type="paragraph" w:styleId="BodyText">
    <w:name w:val="Body Text"/>
    <w:basedOn w:val="Normal"/>
    <w:link w:val="BodyTextChar"/>
    <w:uiPriority w:val="1"/>
    <w:qFormat/>
    <w:rsid w:val="0086594C"/>
    <w:pPr>
      <w:widowControl w:val="0"/>
      <w:autoSpaceDE w:val="0"/>
      <w:autoSpaceDN w:val="0"/>
      <w:spacing w:after="0" w:line="240" w:lineRule="auto"/>
    </w:pPr>
    <w:rPr>
      <w:rFonts w:eastAsia="Seaford" w:cs="Seaford"/>
    </w:rPr>
  </w:style>
  <w:style w:type="character" w:customStyle="1" w:styleId="BodyTextChar">
    <w:name w:val="Body Text Char"/>
    <w:basedOn w:val="DefaultParagraphFont"/>
    <w:link w:val="BodyText"/>
    <w:uiPriority w:val="1"/>
    <w:rsid w:val="0086594C"/>
    <w:rPr>
      <w:rFonts w:eastAsia="Seaford" w:cs="Seafor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alhospital.org/wp-content/uploads/2022/01/Pandemic-Federal-Legislation-and-Funding-011922-Final.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747</Words>
  <Characters>4276</Characters>
  <Application>Microsoft Office Word</Application>
  <DocSecurity>0</DocSecurity>
  <Lines>60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Hoffman</dc:creator>
  <cp:keywords/>
  <dc:description/>
  <cp:lastModifiedBy>Nicole Hoffman</cp:lastModifiedBy>
  <cp:revision>3</cp:revision>
  <dcterms:created xsi:type="dcterms:W3CDTF">2022-01-20T14:38:00Z</dcterms:created>
  <dcterms:modified xsi:type="dcterms:W3CDTF">2022-01-20T15:25:00Z</dcterms:modified>
</cp:coreProperties>
</file>