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A7C8" w14:textId="100002BA" w:rsidR="00525C96" w:rsidRDefault="00525C96" w:rsidP="008D2575">
      <w:pPr>
        <w:pStyle w:val="NoSpacing"/>
        <w:rPr>
          <w:rFonts w:ascii="Seaford" w:hAnsi="Seaford"/>
        </w:rPr>
      </w:pPr>
      <w:r w:rsidRPr="30B76BCE">
        <w:rPr>
          <w:rFonts w:ascii="Seaford" w:hAnsi="Seaford"/>
        </w:rPr>
        <w:t xml:space="preserve">Email Subject </w:t>
      </w:r>
      <w:r w:rsidR="00322C57" w:rsidRPr="30B76BCE">
        <w:rPr>
          <w:rFonts w:ascii="Seaford" w:hAnsi="Seaford"/>
        </w:rPr>
        <w:t>L</w:t>
      </w:r>
      <w:r w:rsidRPr="30B76BCE">
        <w:rPr>
          <w:rFonts w:ascii="Seaford" w:hAnsi="Seaford"/>
        </w:rPr>
        <w:t xml:space="preserve">ine: </w:t>
      </w:r>
      <w:r w:rsidR="007F2BCE">
        <w:rPr>
          <w:rFonts w:ascii="Seaford" w:hAnsi="Seaford"/>
        </w:rPr>
        <w:t>Co-Sponsor Legislation Releasing Remaining Provider Relief Funds</w:t>
      </w:r>
    </w:p>
    <w:p w14:paraId="62B82708" w14:textId="77777777" w:rsidR="00525C96" w:rsidRDefault="00525C96" w:rsidP="008D2575">
      <w:pPr>
        <w:pStyle w:val="NoSpacing"/>
        <w:rPr>
          <w:rFonts w:ascii="Seaford" w:hAnsi="Seaford"/>
        </w:rPr>
      </w:pPr>
    </w:p>
    <w:p w14:paraId="463834F8" w14:textId="03FD9B9E" w:rsidR="008D2575" w:rsidRDefault="008D2575" w:rsidP="008D2575">
      <w:pPr>
        <w:pStyle w:val="NoSpacing"/>
        <w:rPr>
          <w:rFonts w:ascii="Seaford" w:hAnsi="Seaford"/>
        </w:rPr>
      </w:pPr>
      <w:r w:rsidRPr="008D2575">
        <w:rPr>
          <w:rFonts w:ascii="Seaford" w:hAnsi="Seaford"/>
        </w:rPr>
        <w:t xml:space="preserve">Dear </w:t>
      </w:r>
      <w:r w:rsidR="00525C96">
        <w:rPr>
          <w:rFonts w:ascii="Seaford" w:hAnsi="Seaford"/>
        </w:rPr>
        <w:t>Rep. (</w:t>
      </w:r>
      <w:r w:rsidR="00525C96" w:rsidRPr="00525C96">
        <w:rPr>
          <w:rFonts w:ascii="Seaford" w:hAnsi="Seaford"/>
          <w:highlight w:val="yellow"/>
        </w:rPr>
        <w:t>Member’s Name</w:t>
      </w:r>
      <w:r w:rsidR="00525C96">
        <w:rPr>
          <w:rFonts w:ascii="Seaford" w:hAnsi="Seaford"/>
        </w:rPr>
        <w:t>)</w:t>
      </w:r>
      <w:r w:rsidRPr="008D2575">
        <w:rPr>
          <w:rFonts w:ascii="Seaford" w:hAnsi="Seaford"/>
        </w:rPr>
        <w:t xml:space="preserve">: </w:t>
      </w:r>
    </w:p>
    <w:p w14:paraId="2F3BD6DA" w14:textId="77777777" w:rsidR="008D2575" w:rsidRPr="008D2575" w:rsidRDefault="008D2575" w:rsidP="008D2575">
      <w:pPr>
        <w:pStyle w:val="NoSpacing"/>
        <w:rPr>
          <w:rFonts w:ascii="Seaford" w:hAnsi="Seaford"/>
        </w:rPr>
      </w:pPr>
    </w:p>
    <w:p w14:paraId="23E5B35A" w14:textId="766004BA" w:rsidR="007F2BCE" w:rsidRDefault="00525C96" w:rsidP="007F2BCE">
      <w:pPr>
        <w:pStyle w:val="paragraph"/>
        <w:spacing w:before="0" w:beforeAutospacing="0" w:after="0" w:afterAutospacing="0"/>
        <w:textAlignment w:val="baseline"/>
        <w:rPr>
          <w:rFonts w:ascii="Segoe UI" w:hAnsi="Segoe UI" w:cs="Segoe UI"/>
          <w:sz w:val="18"/>
          <w:szCs w:val="18"/>
        </w:rPr>
      </w:pPr>
      <w:r>
        <w:rPr>
          <w:rFonts w:ascii="Seaford" w:hAnsi="Seaford"/>
        </w:rPr>
        <w:t>(</w:t>
      </w:r>
      <w:r w:rsidRPr="00525C96">
        <w:rPr>
          <w:rFonts w:ascii="Seaford" w:hAnsi="Seaford"/>
          <w:highlight w:val="yellow"/>
        </w:rPr>
        <w:t>Hospital name</w:t>
      </w:r>
      <w:r>
        <w:rPr>
          <w:rFonts w:ascii="Seaford" w:hAnsi="Seaford"/>
        </w:rPr>
        <w:t>)</w:t>
      </w:r>
      <w:r w:rsidR="008D2575" w:rsidRPr="008D2575">
        <w:rPr>
          <w:rFonts w:ascii="Seaford" w:hAnsi="Seaford"/>
        </w:rPr>
        <w:t xml:space="preserve"> </w:t>
      </w:r>
      <w:r w:rsidR="007F2BCE">
        <w:rPr>
          <w:rStyle w:val="normaltextrun"/>
          <w:rFonts w:ascii="Seaford" w:hAnsi="Seaford" w:cs="Segoe UI"/>
          <w:color w:val="000000"/>
          <w:sz w:val="22"/>
          <w:szCs w:val="22"/>
        </w:rPr>
        <w:t>urges your support for the </w:t>
      </w:r>
      <w:r w:rsidR="007F2BCE">
        <w:rPr>
          <w:rStyle w:val="normaltextrun"/>
          <w:rFonts w:ascii="Seaford" w:hAnsi="Seaford" w:cs="Segoe UI"/>
          <w:b/>
          <w:bCs/>
          <w:color w:val="000000"/>
          <w:sz w:val="22"/>
          <w:szCs w:val="22"/>
        </w:rPr>
        <w:t>Provider Relief Fund Improvement Act, H.R. 5963</w:t>
      </w:r>
      <w:r w:rsidR="007F2BCE">
        <w:rPr>
          <w:rStyle w:val="normaltextrun"/>
          <w:rFonts w:ascii="Seaford" w:hAnsi="Seaford" w:cs="Segoe UI"/>
          <w:color w:val="000000"/>
          <w:sz w:val="22"/>
          <w:szCs w:val="22"/>
        </w:rPr>
        <w:t>, to provide needed flexibility for hospitals to make the best use of available federal funding as they continue to respond to the COVID-19 pandemic.</w:t>
      </w:r>
      <w:r w:rsidR="007F2BCE">
        <w:rPr>
          <w:rStyle w:val="eop"/>
          <w:rFonts w:ascii="Seaford" w:hAnsi="Seaford" w:cs="Segoe UI"/>
          <w:color w:val="000000"/>
          <w:sz w:val="22"/>
          <w:szCs w:val="22"/>
        </w:rPr>
        <w:t> </w:t>
      </w:r>
    </w:p>
    <w:p w14:paraId="3E1E4868" w14:textId="77777777" w:rsidR="007F2BCE" w:rsidRDefault="007F2BCE" w:rsidP="007F2BCE">
      <w:pPr>
        <w:pStyle w:val="paragraph"/>
        <w:spacing w:before="0" w:beforeAutospacing="0" w:after="0" w:afterAutospacing="0"/>
        <w:textAlignment w:val="baseline"/>
        <w:rPr>
          <w:rFonts w:ascii="Segoe UI" w:hAnsi="Segoe UI" w:cs="Segoe UI"/>
          <w:sz w:val="18"/>
          <w:szCs w:val="18"/>
        </w:rPr>
      </w:pPr>
      <w:r>
        <w:rPr>
          <w:rStyle w:val="eop"/>
          <w:rFonts w:ascii="Seaford" w:hAnsi="Seaford" w:cs="Segoe UI"/>
          <w:color w:val="000000"/>
          <w:sz w:val="22"/>
          <w:szCs w:val="22"/>
        </w:rPr>
        <w:t> </w:t>
      </w:r>
    </w:p>
    <w:p w14:paraId="2ACC86EA" w14:textId="0F421210" w:rsidR="007F2BCE" w:rsidRDefault="007F2BCE" w:rsidP="3DA1D247">
      <w:pPr>
        <w:pStyle w:val="paragraph"/>
        <w:spacing w:before="0" w:beforeAutospacing="0" w:after="0" w:afterAutospacing="0"/>
        <w:textAlignment w:val="baseline"/>
        <w:rPr>
          <w:rFonts w:ascii="Segoe UI" w:hAnsi="Segoe UI" w:cs="Segoe UI"/>
          <w:sz w:val="18"/>
          <w:szCs w:val="18"/>
        </w:rPr>
      </w:pPr>
      <w:r w:rsidRPr="3DA1D247">
        <w:rPr>
          <w:rStyle w:val="normaltextrun"/>
          <w:rFonts w:ascii="Seaford" w:hAnsi="Seaford" w:cs="Segoe UI"/>
          <w:color w:val="000000" w:themeColor="text1"/>
          <w:sz w:val="22"/>
          <w:szCs w:val="22"/>
        </w:rPr>
        <w:t>California’s hospitals continue to incur significant COVID-19-related expenses that have not been adequately covered by the Provider Relief Funds distributed to date. All told, the state’s hospitals lost an estimated $8 billion in 2020, after factoring in federal relief, and are </w:t>
      </w:r>
      <w:r w:rsidRPr="00ED651B">
        <w:rPr>
          <w:rStyle w:val="normaltextrun"/>
          <w:rFonts w:ascii="Seaford" w:hAnsi="Seaford" w:cs="Segoe UI"/>
          <w:sz w:val="22"/>
          <w:szCs w:val="22"/>
        </w:rPr>
        <w:t>projected to lose another $2 billion in 2021</w:t>
      </w:r>
      <w:r w:rsidR="00ED651B" w:rsidRPr="00ED651B">
        <w:rPr>
          <w:rStyle w:val="FootnoteReference"/>
          <w:rFonts w:ascii="Seaford" w:hAnsi="Seaford" w:cs="Segoe UI"/>
          <w:sz w:val="22"/>
          <w:szCs w:val="22"/>
        </w:rPr>
        <w:footnoteReference w:id="1"/>
      </w:r>
      <w:r w:rsidRPr="3DA1D247">
        <w:rPr>
          <w:rStyle w:val="normaltextrun"/>
          <w:rFonts w:ascii="Seaford" w:hAnsi="Seaford" w:cs="Segoe UI"/>
          <w:color w:val="000000" w:themeColor="text1"/>
          <w:sz w:val="22"/>
          <w:szCs w:val="22"/>
        </w:rPr>
        <w:t>. Making matters worse, because of the upcoming reporting deadline, some hospitals may be required to return funds by December 30 that they may ultimately need. This, while more than </w:t>
      </w:r>
      <w:hyperlink r:id="rId9">
        <w:r w:rsidRPr="00ED651B">
          <w:rPr>
            <w:rStyle w:val="normaltextrun"/>
            <w:rFonts w:ascii="Seaford" w:hAnsi="Seaford" w:cs="Segoe UI"/>
            <w:sz w:val="22"/>
            <w:szCs w:val="22"/>
          </w:rPr>
          <w:t>$26.8 billion</w:t>
        </w:r>
      </w:hyperlink>
      <w:r w:rsidR="00ED651B" w:rsidRPr="00ED651B">
        <w:rPr>
          <w:rStyle w:val="FootnoteReference"/>
          <w:rFonts w:ascii="Seaford" w:hAnsi="Seaford" w:cs="Segoe UI"/>
          <w:sz w:val="22"/>
          <w:szCs w:val="22"/>
        </w:rPr>
        <w:footnoteReference w:id="2"/>
      </w:r>
      <w:r w:rsidRPr="00ED651B">
        <w:rPr>
          <w:rStyle w:val="normaltextrun"/>
          <w:rFonts w:ascii="Seaford" w:hAnsi="Seaford" w:cs="Segoe UI"/>
          <w:sz w:val="22"/>
          <w:szCs w:val="22"/>
        </w:rPr>
        <w:t> </w:t>
      </w:r>
      <w:r w:rsidRPr="3DA1D247">
        <w:rPr>
          <w:rStyle w:val="normaltextrun"/>
          <w:rFonts w:ascii="Seaford" w:hAnsi="Seaford" w:cs="Segoe UI"/>
          <w:color w:val="000000" w:themeColor="text1"/>
          <w:sz w:val="22"/>
          <w:szCs w:val="22"/>
        </w:rPr>
        <w:t>in relief funds remains unspent. </w:t>
      </w:r>
      <w:r w:rsidRPr="3DA1D247">
        <w:rPr>
          <w:rStyle w:val="eop"/>
          <w:rFonts w:ascii="Seaford" w:hAnsi="Seaford" w:cs="Segoe UI"/>
          <w:color w:val="000000" w:themeColor="text1"/>
          <w:sz w:val="22"/>
          <w:szCs w:val="22"/>
        </w:rPr>
        <w:t> </w:t>
      </w:r>
    </w:p>
    <w:p w14:paraId="03607D47" w14:textId="77777777" w:rsidR="007F2BCE" w:rsidRDefault="007F2BCE" w:rsidP="007F2BCE">
      <w:pPr>
        <w:pStyle w:val="paragraph"/>
        <w:spacing w:before="0" w:beforeAutospacing="0" w:after="0" w:afterAutospacing="0"/>
        <w:textAlignment w:val="baseline"/>
        <w:rPr>
          <w:rFonts w:ascii="Segoe UI" w:hAnsi="Segoe UI" w:cs="Segoe UI"/>
          <w:sz w:val="18"/>
          <w:szCs w:val="18"/>
        </w:rPr>
      </w:pPr>
      <w:r>
        <w:rPr>
          <w:rStyle w:val="eop"/>
          <w:rFonts w:ascii="Seaford" w:hAnsi="Seaford" w:cs="Segoe UI"/>
          <w:color w:val="000000"/>
          <w:sz w:val="22"/>
          <w:szCs w:val="22"/>
        </w:rPr>
        <w:t> </w:t>
      </w:r>
    </w:p>
    <w:p w14:paraId="27B2BE19" w14:textId="78AE9451" w:rsidR="007F2BCE" w:rsidRDefault="007F2BCE" w:rsidP="007F2BCE">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color w:val="000000"/>
          <w:sz w:val="22"/>
          <w:szCs w:val="22"/>
        </w:rPr>
        <w:t>While we are grateful for the federal relief funds that have been made available so far, the bipartisan H.R. 5963 would offer hospitals additional urgently needed funds and the financial flexibility that are essential to the ongoing pandemic response. This crucial legislation extends the time hospitals </w:t>
      </w:r>
      <w:proofErr w:type="gramStart"/>
      <w:r>
        <w:rPr>
          <w:rStyle w:val="normaltextrun"/>
          <w:rFonts w:ascii="Seaford" w:hAnsi="Seaford" w:cs="Segoe UI"/>
          <w:color w:val="000000"/>
          <w:sz w:val="22"/>
          <w:szCs w:val="22"/>
        </w:rPr>
        <w:t>have to</w:t>
      </w:r>
      <w:proofErr w:type="gramEnd"/>
      <w:r>
        <w:rPr>
          <w:rStyle w:val="normaltextrun"/>
          <w:rFonts w:ascii="Seaford" w:hAnsi="Seaford" w:cs="Segoe UI"/>
          <w:color w:val="000000"/>
          <w:sz w:val="22"/>
          <w:szCs w:val="22"/>
        </w:rPr>
        <w:t> use Provider Relief Funds and requires the distribution of any remaining funds by March 31, 2022. Importantly for California, the </w:t>
      </w:r>
      <w:proofErr w:type="gramStart"/>
      <w:r>
        <w:rPr>
          <w:rStyle w:val="normaltextrun"/>
          <w:rFonts w:ascii="Seaford" w:hAnsi="Seaford" w:cs="Segoe UI"/>
          <w:color w:val="000000"/>
          <w:sz w:val="22"/>
          <w:szCs w:val="22"/>
        </w:rPr>
        <w:t>time period</w:t>
      </w:r>
      <w:proofErr w:type="gramEnd"/>
      <w:r>
        <w:rPr>
          <w:rStyle w:val="normaltextrun"/>
          <w:rFonts w:ascii="Seaford" w:hAnsi="Seaford" w:cs="Segoe UI"/>
          <w:color w:val="000000"/>
          <w:sz w:val="22"/>
          <w:szCs w:val="22"/>
        </w:rPr>
        <w:t> covered under this distribution would include expenses resulting from the delta variant surge. </w:t>
      </w:r>
      <w:r>
        <w:rPr>
          <w:rStyle w:val="eop"/>
          <w:rFonts w:ascii="Seaford" w:hAnsi="Seaford" w:cs="Segoe UI"/>
          <w:color w:val="000000"/>
          <w:sz w:val="22"/>
          <w:szCs w:val="22"/>
        </w:rPr>
        <w:t> </w:t>
      </w:r>
    </w:p>
    <w:p w14:paraId="0F338C7E" w14:textId="77777777" w:rsidR="007F2BCE" w:rsidRDefault="007F2BCE" w:rsidP="007F2BCE">
      <w:pPr>
        <w:pStyle w:val="paragraph"/>
        <w:spacing w:before="0" w:beforeAutospacing="0" w:after="0" w:afterAutospacing="0"/>
        <w:textAlignment w:val="baseline"/>
        <w:rPr>
          <w:rFonts w:ascii="Segoe UI" w:hAnsi="Segoe UI" w:cs="Segoe UI"/>
          <w:sz w:val="18"/>
          <w:szCs w:val="18"/>
        </w:rPr>
      </w:pPr>
      <w:r>
        <w:rPr>
          <w:rStyle w:val="eop"/>
          <w:rFonts w:ascii="Seaford" w:hAnsi="Seaford" w:cs="Segoe UI"/>
          <w:color w:val="000000"/>
          <w:sz w:val="22"/>
          <w:szCs w:val="22"/>
        </w:rPr>
        <w:t> </w:t>
      </w:r>
    </w:p>
    <w:p w14:paraId="3396DD28" w14:textId="6D0F548C" w:rsidR="00601CC7" w:rsidRDefault="007F2BCE" w:rsidP="007F2BCE">
      <w:pPr>
        <w:pStyle w:val="paragraph"/>
        <w:spacing w:before="0" w:beforeAutospacing="0" w:after="0" w:afterAutospacing="0"/>
        <w:textAlignment w:val="baseline"/>
        <w:rPr>
          <w:rFonts w:ascii="Seaford" w:hAnsi="Seaford"/>
        </w:rPr>
      </w:pPr>
      <w:r>
        <w:rPr>
          <w:rStyle w:val="normaltextrun"/>
          <w:rFonts w:ascii="Seaford" w:hAnsi="Seaford" w:cs="Segoe UI"/>
          <w:sz w:val="22"/>
          <w:szCs w:val="22"/>
        </w:rPr>
        <w:t>Thank you for your continued support of California’s hospitals and the patients we care for</w:t>
      </w:r>
      <w:proofErr w:type="gramStart"/>
      <w:r>
        <w:rPr>
          <w:rStyle w:val="normaltextrun"/>
          <w:rFonts w:ascii="Seaford" w:hAnsi="Seaford" w:cs="Segoe UI"/>
          <w:sz w:val="22"/>
          <w:szCs w:val="22"/>
        </w:rPr>
        <w:t>. </w:t>
      </w:r>
      <w:r w:rsidR="008D2575" w:rsidRPr="008D2575">
        <w:rPr>
          <w:rFonts w:ascii="Seaford" w:hAnsi="Seaford"/>
        </w:rPr>
        <w:t xml:space="preserve"> </w:t>
      </w:r>
      <w:proofErr w:type="gramEnd"/>
    </w:p>
    <w:p w14:paraId="256E0FA9" w14:textId="0A5B98F8" w:rsidR="00525C96" w:rsidRDefault="00525C96" w:rsidP="008D2575">
      <w:pPr>
        <w:pStyle w:val="NoSpacing"/>
        <w:rPr>
          <w:rFonts w:ascii="Seaford" w:hAnsi="Seaford"/>
        </w:rPr>
      </w:pPr>
    </w:p>
    <w:p w14:paraId="77081C03" w14:textId="69E1516C" w:rsidR="00525C96" w:rsidRPr="008D2575" w:rsidRDefault="00525C96" w:rsidP="008D2575">
      <w:pPr>
        <w:pStyle w:val="NoSpacing"/>
        <w:rPr>
          <w:rFonts w:ascii="Seaford" w:hAnsi="Seaford"/>
        </w:rPr>
      </w:pPr>
      <w:r w:rsidRPr="00525C96">
        <w:rPr>
          <w:rFonts w:ascii="Seaford" w:hAnsi="Seaford"/>
          <w:highlight w:val="yellow"/>
        </w:rPr>
        <w:t>Name and Title</w:t>
      </w:r>
    </w:p>
    <w:sectPr w:rsidR="00525C96" w:rsidRPr="008D2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F40F" w14:textId="77777777" w:rsidR="00CB721D" w:rsidRDefault="00CB721D" w:rsidP="00ED651B">
      <w:pPr>
        <w:spacing w:after="0" w:line="240" w:lineRule="auto"/>
      </w:pPr>
      <w:r>
        <w:separator/>
      </w:r>
    </w:p>
  </w:endnote>
  <w:endnote w:type="continuationSeparator" w:id="0">
    <w:p w14:paraId="525327CC" w14:textId="77777777" w:rsidR="00CB721D" w:rsidRDefault="00CB721D" w:rsidP="00ED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altName w:val="Seaford"/>
    <w:charset w:val="00"/>
    <w:family w:val="auto"/>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582C" w14:textId="77777777" w:rsidR="00CB721D" w:rsidRDefault="00CB721D" w:rsidP="00ED651B">
      <w:pPr>
        <w:spacing w:after="0" w:line="240" w:lineRule="auto"/>
      </w:pPr>
      <w:r>
        <w:separator/>
      </w:r>
    </w:p>
  </w:footnote>
  <w:footnote w:type="continuationSeparator" w:id="0">
    <w:p w14:paraId="2119B45D" w14:textId="77777777" w:rsidR="00CB721D" w:rsidRDefault="00CB721D" w:rsidP="00ED651B">
      <w:pPr>
        <w:spacing w:after="0" w:line="240" w:lineRule="auto"/>
      </w:pPr>
      <w:r>
        <w:continuationSeparator/>
      </w:r>
    </w:p>
  </w:footnote>
  <w:footnote w:id="1">
    <w:p w14:paraId="1655E28B" w14:textId="287F5B48" w:rsidR="00ED651B" w:rsidRDefault="00ED651B">
      <w:pPr>
        <w:pStyle w:val="FootnoteText"/>
      </w:pPr>
      <w:r>
        <w:rPr>
          <w:rStyle w:val="FootnoteReference"/>
        </w:rPr>
        <w:footnoteRef/>
      </w:r>
      <w:r>
        <w:t xml:space="preserve"> </w:t>
      </w:r>
      <w:hyperlink r:id="rId1" w:history="1">
        <w:r w:rsidR="009964E6" w:rsidRPr="00C323BD">
          <w:rPr>
            <w:rStyle w:val="Hyperlink"/>
          </w:rPr>
          <w:t>https://www.kaufmanhall.com/sites/default/files/2021-04/kh-cha-financial-forecast-ebook_final.pdf</w:t>
        </w:r>
      </w:hyperlink>
      <w:r w:rsidR="009964E6">
        <w:t xml:space="preserve"> </w:t>
      </w:r>
    </w:p>
  </w:footnote>
  <w:footnote w:id="2">
    <w:p w14:paraId="74BB9DD1" w14:textId="22573544" w:rsidR="00ED651B" w:rsidRDefault="00ED651B">
      <w:pPr>
        <w:pStyle w:val="FootnoteText"/>
      </w:pPr>
      <w:r>
        <w:rPr>
          <w:rStyle w:val="FootnoteReference"/>
        </w:rPr>
        <w:footnoteRef/>
      </w:r>
      <w:r>
        <w:t xml:space="preserve"> </w:t>
      </w:r>
      <w:hyperlink r:id="rId2" w:history="1">
        <w:r w:rsidR="009964E6" w:rsidRPr="00C323BD">
          <w:rPr>
            <w:rStyle w:val="Hyperlink"/>
          </w:rPr>
          <w:t>https://www.urban.org/research/publication/more-year-and-half-after-congress-approved-funding-help-health-care-providers-weather-pandemic-billions-178-billion-allocated-remain-unspent</w:t>
        </w:r>
      </w:hyperlink>
      <w:r w:rsidR="009964E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75"/>
    <w:rsid w:val="00005FF5"/>
    <w:rsid w:val="00312AD7"/>
    <w:rsid w:val="00322C57"/>
    <w:rsid w:val="00387A7A"/>
    <w:rsid w:val="00525C96"/>
    <w:rsid w:val="00601CC7"/>
    <w:rsid w:val="007F2BCE"/>
    <w:rsid w:val="008D2575"/>
    <w:rsid w:val="008E0D17"/>
    <w:rsid w:val="009964E6"/>
    <w:rsid w:val="00CB721D"/>
    <w:rsid w:val="00ED651B"/>
    <w:rsid w:val="30B76BCE"/>
    <w:rsid w:val="3DA1D247"/>
    <w:rsid w:val="59501043"/>
    <w:rsid w:val="7ABE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0807"/>
  <w15:chartTrackingRefBased/>
  <w15:docId w15:val="{C288995E-E273-4000-8EE6-EE7FD6B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575"/>
    <w:pPr>
      <w:spacing w:after="0" w:line="240" w:lineRule="auto"/>
    </w:pPr>
  </w:style>
  <w:style w:type="paragraph" w:customStyle="1" w:styleId="paragraph">
    <w:name w:val="paragraph"/>
    <w:basedOn w:val="Normal"/>
    <w:rsid w:val="007F2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BCE"/>
  </w:style>
  <w:style w:type="character" w:customStyle="1" w:styleId="eop">
    <w:name w:val="eop"/>
    <w:basedOn w:val="DefaultParagraphFont"/>
    <w:rsid w:val="007F2BCE"/>
  </w:style>
  <w:style w:type="paragraph" w:styleId="FootnoteText">
    <w:name w:val="footnote text"/>
    <w:basedOn w:val="Normal"/>
    <w:link w:val="FootnoteTextChar"/>
    <w:uiPriority w:val="99"/>
    <w:semiHidden/>
    <w:unhideWhenUsed/>
    <w:rsid w:val="00ED6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51B"/>
    <w:rPr>
      <w:sz w:val="20"/>
      <w:szCs w:val="20"/>
    </w:rPr>
  </w:style>
  <w:style w:type="character" w:styleId="FootnoteReference">
    <w:name w:val="footnote reference"/>
    <w:basedOn w:val="DefaultParagraphFont"/>
    <w:uiPriority w:val="99"/>
    <w:semiHidden/>
    <w:unhideWhenUsed/>
    <w:rsid w:val="00ED651B"/>
    <w:rPr>
      <w:vertAlign w:val="superscript"/>
    </w:rPr>
  </w:style>
  <w:style w:type="character" w:styleId="Hyperlink">
    <w:name w:val="Hyperlink"/>
    <w:basedOn w:val="DefaultParagraphFont"/>
    <w:uiPriority w:val="99"/>
    <w:unhideWhenUsed/>
    <w:rsid w:val="009964E6"/>
    <w:rPr>
      <w:color w:val="0563C1" w:themeColor="hyperlink"/>
      <w:u w:val="single"/>
    </w:rPr>
  </w:style>
  <w:style w:type="character" w:styleId="UnresolvedMention">
    <w:name w:val="Unresolved Mention"/>
    <w:basedOn w:val="DefaultParagraphFont"/>
    <w:uiPriority w:val="99"/>
    <w:semiHidden/>
    <w:unhideWhenUsed/>
    <w:rsid w:val="0099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5980">
      <w:bodyDiv w:val="1"/>
      <w:marLeft w:val="0"/>
      <w:marRight w:val="0"/>
      <w:marTop w:val="0"/>
      <w:marBottom w:val="0"/>
      <w:divBdr>
        <w:top w:val="none" w:sz="0" w:space="0" w:color="auto"/>
        <w:left w:val="none" w:sz="0" w:space="0" w:color="auto"/>
        <w:bottom w:val="none" w:sz="0" w:space="0" w:color="auto"/>
        <w:right w:val="none" w:sz="0" w:space="0" w:color="auto"/>
      </w:divBdr>
      <w:divsChild>
        <w:div w:id="526916855">
          <w:marLeft w:val="0"/>
          <w:marRight w:val="0"/>
          <w:marTop w:val="0"/>
          <w:marBottom w:val="0"/>
          <w:divBdr>
            <w:top w:val="none" w:sz="0" w:space="0" w:color="auto"/>
            <w:left w:val="none" w:sz="0" w:space="0" w:color="auto"/>
            <w:bottom w:val="none" w:sz="0" w:space="0" w:color="auto"/>
            <w:right w:val="none" w:sz="0" w:space="0" w:color="auto"/>
          </w:divBdr>
        </w:div>
        <w:div w:id="1365904011">
          <w:marLeft w:val="0"/>
          <w:marRight w:val="0"/>
          <w:marTop w:val="0"/>
          <w:marBottom w:val="0"/>
          <w:divBdr>
            <w:top w:val="none" w:sz="0" w:space="0" w:color="auto"/>
            <w:left w:val="none" w:sz="0" w:space="0" w:color="auto"/>
            <w:bottom w:val="none" w:sz="0" w:space="0" w:color="auto"/>
            <w:right w:val="none" w:sz="0" w:space="0" w:color="auto"/>
          </w:divBdr>
        </w:div>
        <w:div w:id="1997028602">
          <w:marLeft w:val="0"/>
          <w:marRight w:val="0"/>
          <w:marTop w:val="0"/>
          <w:marBottom w:val="0"/>
          <w:divBdr>
            <w:top w:val="none" w:sz="0" w:space="0" w:color="auto"/>
            <w:left w:val="none" w:sz="0" w:space="0" w:color="auto"/>
            <w:bottom w:val="none" w:sz="0" w:space="0" w:color="auto"/>
            <w:right w:val="none" w:sz="0" w:space="0" w:color="auto"/>
          </w:divBdr>
        </w:div>
        <w:div w:id="1545022903">
          <w:marLeft w:val="0"/>
          <w:marRight w:val="0"/>
          <w:marTop w:val="0"/>
          <w:marBottom w:val="0"/>
          <w:divBdr>
            <w:top w:val="none" w:sz="0" w:space="0" w:color="auto"/>
            <w:left w:val="none" w:sz="0" w:space="0" w:color="auto"/>
            <w:bottom w:val="none" w:sz="0" w:space="0" w:color="auto"/>
            <w:right w:val="none" w:sz="0" w:space="0" w:color="auto"/>
          </w:divBdr>
        </w:div>
        <w:div w:id="1338464132">
          <w:marLeft w:val="0"/>
          <w:marRight w:val="0"/>
          <w:marTop w:val="0"/>
          <w:marBottom w:val="0"/>
          <w:divBdr>
            <w:top w:val="none" w:sz="0" w:space="0" w:color="auto"/>
            <w:left w:val="none" w:sz="0" w:space="0" w:color="auto"/>
            <w:bottom w:val="none" w:sz="0" w:space="0" w:color="auto"/>
            <w:right w:val="none" w:sz="0" w:space="0" w:color="auto"/>
          </w:divBdr>
        </w:div>
        <w:div w:id="2065370102">
          <w:marLeft w:val="0"/>
          <w:marRight w:val="0"/>
          <w:marTop w:val="0"/>
          <w:marBottom w:val="0"/>
          <w:divBdr>
            <w:top w:val="none" w:sz="0" w:space="0" w:color="auto"/>
            <w:left w:val="none" w:sz="0" w:space="0" w:color="auto"/>
            <w:bottom w:val="none" w:sz="0" w:space="0" w:color="auto"/>
            <w:right w:val="none" w:sz="0" w:space="0" w:color="auto"/>
          </w:divBdr>
        </w:div>
        <w:div w:id="175717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m02.safelinks.protection.outlook.com/?url=https%3A%2F%2Fwww.urban.org%2Fresearch%2Fpublication%2Fmore-year-and-half-after-congress-approved-funding-help-health-care-providers-weather-pandemic-billions-178-billion-allocated-remain-unspent&amp;data=04%7C01%7Cnhoffman%40calhospital.org%7C5d9d9aeeba244686df8708d9aa113490%7C27a14bf02cbf48cb9e8c758653aa88df%7C1%7C0%7C637727814627839028%7CUnknown%7CTWFpbGZsb3d8eyJWIjoiMC4wLjAwMDAiLCJQIjoiV2luMzIiLCJBTiI6Ik1haWwiLCJXVCI6Mn0%3D%7C3000&amp;sdata=oxC41hakua%2Bff6nD1ivNoFGQwcILhH4DljOZQSQYO8s%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rban.org/research/publication/more-year-and-half-after-congress-approved-funding-help-health-care-providers-weather-pandemic-billions-178-billion-allocated-remain-unspent" TargetMode="External"/><Relationship Id="rId1" Type="http://schemas.openxmlformats.org/officeDocument/2006/relationships/hyperlink" Target="https://www.kaufmanhall.com/sites/default/files/2021-04/kh-cha-financial-forecast-eboo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5" ma:contentTypeDescription="Create a new document." ma:contentTypeScope="" ma:versionID="e63b43b5571f76953b88470fe9b86def">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a81619ad8c6cfd48d8f9928782959f4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Number xmlns="74f1bc41-95bc-426d-befc-d768ff8af8f7" xsi:nil="true"/>
  </documentManagement>
</p:properties>
</file>

<file path=customXml/itemProps1.xml><?xml version="1.0" encoding="utf-8"?>
<ds:datastoreItem xmlns:ds="http://schemas.openxmlformats.org/officeDocument/2006/customXml" ds:itemID="{C2716F86-E44F-4F6A-93F5-DCA27371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59E9F-47CC-405A-8C50-4B5CFA3C7D47}">
  <ds:schemaRefs>
    <ds:schemaRef ds:uri="http://schemas.microsoft.com/sharepoint/v3/contenttype/forms"/>
  </ds:schemaRefs>
</ds:datastoreItem>
</file>

<file path=customXml/itemProps3.xml><?xml version="1.0" encoding="utf-8"?>
<ds:datastoreItem xmlns:ds="http://schemas.openxmlformats.org/officeDocument/2006/customXml" ds:itemID="{A01F3F18-5CF6-4C1C-A825-B58781B7BA5A}">
  <ds:schemaRefs>
    <ds:schemaRef ds:uri="http://schemas.microsoft.com/office/2006/documentManagement/types"/>
    <ds:schemaRef ds:uri="eec1121c-cda9-4836-be94-b3e836ec7879"/>
    <ds:schemaRef ds:uri="74f1bc41-95bc-426d-befc-d768ff8af8f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Allison Bradley</cp:lastModifiedBy>
  <cp:revision>2</cp:revision>
  <dcterms:created xsi:type="dcterms:W3CDTF">2021-11-22T16:32:00Z</dcterms:created>
  <dcterms:modified xsi:type="dcterms:W3CDTF">2021-11-22T16:32:00Z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ies>
</file>