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A34D" w14:textId="5512FDBF" w:rsidR="00D27A13" w:rsidRDefault="00D27A13" w:rsidP="00D27A13">
      <w:pPr>
        <w:rPr>
          <w:rFonts w:ascii="Seaford" w:hAnsi="Seaford"/>
        </w:rPr>
      </w:pPr>
      <w:r>
        <w:rPr>
          <w:rFonts w:ascii="Seaford" w:hAnsi="Seaford"/>
        </w:rPr>
        <w:t xml:space="preserve">July </w:t>
      </w:r>
      <w:r w:rsidR="005E1FDD">
        <w:rPr>
          <w:rFonts w:ascii="Seaford" w:hAnsi="Seaford"/>
        </w:rPr>
        <w:t>16</w:t>
      </w:r>
      <w:r>
        <w:rPr>
          <w:rFonts w:ascii="Seaford" w:hAnsi="Seaford"/>
        </w:rPr>
        <w:t>, 2021</w:t>
      </w:r>
    </w:p>
    <w:p w14:paraId="33057B7E" w14:textId="77777777" w:rsidR="00D27A13" w:rsidRDefault="00D27A13" w:rsidP="00D27A13">
      <w:pPr>
        <w:rPr>
          <w:rFonts w:ascii="Seaford" w:hAnsi="Seaford"/>
        </w:rPr>
      </w:pPr>
    </w:p>
    <w:p w14:paraId="745F654A" w14:textId="77777777" w:rsidR="00D27A13" w:rsidRDefault="00D27A13" w:rsidP="00D27A13">
      <w:pPr>
        <w:spacing w:after="0"/>
        <w:rPr>
          <w:rFonts w:ascii="Seaford" w:hAnsi="Seaford"/>
        </w:rPr>
      </w:pPr>
      <w:r>
        <w:rPr>
          <w:rFonts w:ascii="Seaford" w:hAnsi="Seaford"/>
        </w:rPr>
        <w:t xml:space="preserve">Kim Kirchmeyer, Director </w:t>
      </w:r>
    </w:p>
    <w:p w14:paraId="0ABDC3E5" w14:textId="77777777" w:rsidR="00D27A13" w:rsidRDefault="00D27A13" w:rsidP="00D27A13">
      <w:pPr>
        <w:spacing w:after="0"/>
        <w:rPr>
          <w:rFonts w:ascii="Seaford" w:hAnsi="Seaford"/>
        </w:rPr>
      </w:pPr>
      <w:r>
        <w:rPr>
          <w:rFonts w:ascii="Seaford" w:hAnsi="Seaford"/>
        </w:rPr>
        <w:t>Department of Consumer Affairs</w:t>
      </w:r>
    </w:p>
    <w:p w14:paraId="2D10CCFC" w14:textId="77777777" w:rsidR="00D27A13" w:rsidRDefault="00D27A13" w:rsidP="00D27A13">
      <w:pPr>
        <w:spacing w:after="0"/>
        <w:rPr>
          <w:rFonts w:ascii="Seaford" w:hAnsi="Seaford"/>
        </w:rPr>
      </w:pPr>
      <w:r>
        <w:rPr>
          <w:rFonts w:ascii="Seaford" w:hAnsi="Seaford"/>
        </w:rPr>
        <w:t>1625 North Market Blvd., Suite N 112</w:t>
      </w:r>
    </w:p>
    <w:p w14:paraId="78949A23" w14:textId="77777777" w:rsidR="00D27A13" w:rsidRDefault="00D27A13" w:rsidP="00D27A13">
      <w:pPr>
        <w:spacing w:after="0"/>
        <w:rPr>
          <w:rFonts w:ascii="Seaford" w:hAnsi="Seaford"/>
        </w:rPr>
      </w:pPr>
      <w:r>
        <w:rPr>
          <w:rFonts w:ascii="Seaford" w:hAnsi="Seaford"/>
        </w:rPr>
        <w:t>Sacramento, CA  95834</w:t>
      </w:r>
    </w:p>
    <w:p w14:paraId="77EA3290" w14:textId="77777777" w:rsidR="00D27A13" w:rsidRDefault="00D27A13" w:rsidP="00D27A13">
      <w:pPr>
        <w:spacing w:after="0"/>
        <w:rPr>
          <w:rFonts w:ascii="Seaford" w:hAnsi="Seaford"/>
        </w:rPr>
      </w:pPr>
    </w:p>
    <w:p w14:paraId="6EA2B645" w14:textId="77777777" w:rsidR="00D27A13" w:rsidRPr="00CF6EB0" w:rsidRDefault="00D27A13" w:rsidP="00D27A13">
      <w:pPr>
        <w:spacing w:after="0"/>
        <w:rPr>
          <w:rFonts w:ascii="Seaford" w:hAnsi="Seaford"/>
          <w:b/>
          <w:bCs/>
        </w:rPr>
      </w:pPr>
      <w:r w:rsidRPr="00CF6EB0">
        <w:rPr>
          <w:rFonts w:ascii="Seaford" w:hAnsi="Seaford"/>
          <w:b/>
          <w:bCs/>
        </w:rPr>
        <w:t>SUBJECT:         White Bagging Concern</w:t>
      </w:r>
    </w:p>
    <w:p w14:paraId="79DEBE7B" w14:textId="77777777" w:rsidR="00AE4B4A" w:rsidRDefault="00AE4B4A" w:rsidP="00AE4B4A">
      <w:pPr>
        <w:spacing w:after="0" w:line="240" w:lineRule="auto"/>
        <w:rPr>
          <w:rFonts w:ascii="Seaford" w:hAnsi="Seaford"/>
          <w:b/>
          <w:bCs/>
        </w:rPr>
      </w:pPr>
    </w:p>
    <w:p w14:paraId="3080F67D" w14:textId="66B99D91" w:rsidR="00D27A13" w:rsidRPr="00AE4B4A" w:rsidRDefault="00D27A13" w:rsidP="00D27A13">
      <w:pPr>
        <w:rPr>
          <w:rFonts w:ascii="Seaford" w:hAnsi="Seaford"/>
          <w:b/>
          <w:bCs/>
        </w:rPr>
      </w:pPr>
      <w:r>
        <w:rPr>
          <w:rFonts w:ascii="Seaford" w:hAnsi="Seaford"/>
        </w:rPr>
        <w:t xml:space="preserve">Dear </w:t>
      </w:r>
      <w:proofErr w:type="gramStart"/>
      <w:r>
        <w:rPr>
          <w:rFonts w:ascii="Seaford" w:hAnsi="Seaford"/>
        </w:rPr>
        <w:t>Director</w:t>
      </w:r>
      <w:proofErr w:type="gramEnd"/>
      <w:r>
        <w:rPr>
          <w:rFonts w:ascii="Seaford" w:hAnsi="Seaford"/>
        </w:rPr>
        <w:t xml:space="preserve"> Kirchmeyer:</w:t>
      </w:r>
    </w:p>
    <w:p w14:paraId="5E7CE7B5" w14:textId="1EA039D4" w:rsidR="00D27A13" w:rsidRDefault="00D27A13" w:rsidP="00D27A13">
      <w:pPr>
        <w:rPr>
          <w:rFonts w:ascii="Seaford" w:hAnsi="Seaford"/>
        </w:rPr>
      </w:pPr>
      <w:r>
        <w:rPr>
          <w:rFonts w:ascii="Seaford" w:hAnsi="Seaford"/>
        </w:rPr>
        <w:t xml:space="preserve">Maintaining quality of care and safety for patients and staff is a guiding principle for all California hospitals, every day. Hospitals exist to serve their communities and are committed to providing high-quality patient care that addresses the challenges and opportunities of the future. Because the Department of Consumer Affairs similarly protects and serves California consumers, the California Hospital Association (CHA) is compelled to call to your attention a recent change in third-party payer practices — known as white bagging — that may jeopardize Californians’ health, safety, and well-being.  </w:t>
      </w:r>
    </w:p>
    <w:p w14:paraId="78D203D6" w14:textId="1FCF03EA" w:rsidR="00D27A13" w:rsidRDefault="00D27A13" w:rsidP="00D27A13">
      <w:pPr>
        <w:rPr>
          <w:rFonts w:ascii="Seaford" w:hAnsi="Seaford"/>
        </w:rPr>
      </w:pPr>
      <w:r>
        <w:rPr>
          <w:rFonts w:ascii="Seaford" w:hAnsi="Seaford"/>
        </w:rPr>
        <w:t xml:space="preserve">White bagging is a commercial payer policy that prioritizes profits over patient safety by requiring alternative methods of distribution and payment for certain costly specialty drugs. The drugs subject to these policies are not those typically dispensed by a retail pharmacy directly to a patient, but instead are administered by a clinician to a patient through injection or infusion in an outpatient setting. Traditionally, acquisition and payment for these drugs has been termed “buy and bill,” where the hospital purchases and stores drugs for general use, and payers reimburse the providers for the cost and administration of the drug.  </w:t>
      </w:r>
    </w:p>
    <w:p w14:paraId="2BEA16F7" w14:textId="0B914440" w:rsidR="00D27A13" w:rsidRDefault="00D27A13" w:rsidP="00D27A13">
      <w:pPr>
        <w:rPr>
          <w:rFonts w:ascii="Seaford" w:hAnsi="Seaford"/>
        </w:rPr>
      </w:pPr>
      <w:r>
        <w:rPr>
          <w:rFonts w:ascii="Seaford" w:hAnsi="Seaford"/>
        </w:rPr>
        <w:t>In a white bagging policy, the commercial payer contracts with a third-party specialty pharmacy to purchase drugs, removing the hospital from the drug acquisition process. The outpatient setting in hospitals is typically an ambulatory infusion center</w:t>
      </w:r>
      <w:r w:rsidR="004765ED">
        <w:rPr>
          <w:rFonts w:ascii="Seaford" w:hAnsi="Seaford"/>
        </w:rPr>
        <w:t>,</w:t>
      </w:r>
      <w:r>
        <w:rPr>
          <w:rFonts w:ascii="Seaford" w:hAnsi="Seaford"/>
        </w:rPr>
        <w:t xml:space="preserve"> where traditional pharmaceutical acquisition supports the compounding and titrating needs of, for example chemotherapy patients, at the time of service.  </w:t>
      </w:r>
    </w:p>
    <w:p w14:paraId="4E7FBCB3" w14:textId="49D1C2B6" w:rsidR="00D27A13" w:rsidRDefault="00D27A13" w:rsidP="00D27A13">
      <w:pPr>
        <w:rPr>
          <w:rFonts w:ascii="Seaford" w:hAnsi="Seaford"/>
        </w:rPr>
      </w:pPr>
      <w:r>
        <w:rPr>
          <w:rFonts w:ascii="Seaford" w:hAnsi="Seaford"/>
        </w:rPr>
        <w:t xml:space="preserve">The changes introduced by white bagging upset this important established system, potentially sacrificing patient safety and quality of care. They also disregard many guardrails in the medication administration and handling process that assure our patients’ safety. These </w:t>
      </w:r>
      <w:r w:rsidR="009A5771">
        <w:rPr>
          <w:rFonts w:ascii="Seaford" w:hAnsi="Seaford"/>
        </w:rPr>
        <w:t xml:space="preserve">negative impacts </w:t>
      </w:r>
      <w:r>
        <w:rPr>
          <w:rFonts w:ascii="Seaford" w:hAnsi="Seaford"/>
        </w:rPr>
        <w:t>include:</w:t>
      </w:r>
    </w:p>
    <w:p w14:paraId="1576F6FF" w14:textId="0F27965D" w:rsidR="00D27A13" w:rsidRPr="009A5771" w:rsidRDefault="00D27A13" w:rsidP="009A5771">
      <w:pPr>
        <w:pStyle w:val="ListParagraph"/>
        <w:numPr>
          <w:ilvl w:val="0"/>
          <w:numId w:val="6"/>
        </w:numPr>
        <w:rPr>
          <w:rFonts w:ascii="Seaford" w:hAnsi="Seaford"/>
        </w:rPr>
      </w:pPr>
      <w:r w:rsidRPr="009A5771">
        <w:rPr>
          <w:rFonts w:ascii="Seaford" w:hAnsi="Seaford"/>
        </w:rPr>
        <w:lastRenderedPageBreak/>
        <w:t>Drug integrity safeguards that conflict with state dispensing, furnishing, and repackaging regulations</w:t>
      </w:r>
    </w:p>
    <w:p w14:paraId="0FEE518F" w14:textId="7CC023E1" w:rsidR="00D27A13" w:rsidRPr="009A5771" w:rsidRDefault="00D27A13" w:rsidP="009A5771">
      <w:pPr>
        <w:pStyle w:val="ListParagraph"/>
        <w:numPr>
          <w:ilvl w:val="0"/>
          <w:numId w:val="6"/>
        </w:numPr>
        <w:rPr>
          <w:rFonts w:ascii="Seaford" w:hAnsi="Seaford"/>
        </w:rPr>
      </w:pPr>
      <w:r w:rsidRPr="009A5771">
        <w:rPr>
          <w:rFonts w:ascii="Seaford" w:hAnsi="Seaford"/>
        </w:rPr>
        <w:t xml:space="preserve">Drug supply chain disruption </w:t>
      </w:r>
      <w:r w:rsidR="009A5771" w:rsidRPr="009A5771">
        <w:rPr>
          <w:rFonts w:ascii="Seaford" w:hAnsi="Seaford"/>
        </w:rPr>
        <w:t>that</w:t>
      </w:r>
      <w:r w:rsidRPr="009A5771">
        <w:rPr>
          <w:rFonts w:ascii="Seaford" w:hAnsi="Seaford"/>
        </w:rPr>
        <w:t xml:space="preserve"> prohibits a pharmacist from full disclosure of transaction information necessary to assure drug integrity before administration </w:t>
      </w:r>
    </w:p>
    <w:p w14:paraId="44BB81E9" w14:textId="5EF4041E" w:rsidR="00D27A13" w:rsidRPr="009A5771" w:rsidRDefault="00D27A13" w:rsidP="009A5771">
      <w:pPr>
        <w:pStyle w:val="ListParagraph"/>
        <w:numPr>
          <w:ilvl w:val="0"/>
          <w:numId w:val="6"/>
        </w:numPr>
        <w:rPr>
          <w:rFonts w:ascii="Seaford" w:hAnsi="Seaford"/>
        </w:rPr>
      </w:pPr>
      <w:r w:rsidRPr="009A5771">
        <w:rPr>
          <w:rFonts w:ascii="Seaford" w:hAnsi="Seaford"/>
        </w:rPr>
        <w:t>Disruption of provider just-in-time dose modifications based on patient point</w:t>
      </w:r>
      <w:r w:rsidR="009A5771" w:rsidRPr="009A5771">
        <w:rPr>
          <w:rFonts w:ascii="Seaford" w:hAnsi="Seaford"/>
        </w:rPr>
        <w:t>-</w:t>
      </w:r>
      <w:r w:rsidRPr="009A5771">
        <w:rPr>
          <w:rFonts w:ascii="Seaford" w:hAnsi="Seaford"/>
        </w:rPr>
        <w:t>of</w:t>
      </w:r>
      <w:r w:rsidR="009A5771" w:rsidRPr="009A5771">
        <w:rPr>
          <w:rFonts w:ascii="Seaford" w:hAnsi="Seaford"/>
        </w:rPr>
        <w:t>-</w:t>
      </w:r>
      <w:r w:rsidRPr="009A5771">
        <w:rPr>
          <w:rFonts w:ascii="Seaford" w:hAnsi="Seaford"/>
        </w:rPr>
        <w:t xml:space="preserve">care </w:t>
      </w:r>
      <w:proofErr w:type="spellStart"/>
      <w:r w:rsidRPr="009A5771">
        <w:rPr>
          <w:rFonts w:ascii="Seaford" w:hAnsi="Seaford"/>
        </w:rPr>
        <w:t>services</w:t>
      </w:r>
      <w:proofErr w:type="spellEnd"/>
      <w:r w:rsidRPr="009A5771">
        <w:rPr>
          <w:rFonts w:ascii="Seaford" w:hAnsi="Seaford"/>
        </w:rPr>
        <w:t xml:space="preserve"> needs</w:t>
      </w:r>
      <w:r w:rsidR="009A5771" w:rsidRPr="009A5771">
        <w:rPr>
          <w:rFonts w:ascii="Seaford" w:hAnsi="Seaford"/>
        </w:rPr>
        <w:t>,</w:t>
      </w:r>
      <w:r w:rsidRPr="009A5771">
        <w:rPr>
          <w:rFonts w:ascii="Seaford" w:hAnsi="Seaford"/>
        </w:rPr>
        <w:t xml:space="preserve"> which can be life threatening  </w:t>
      </w:r>
    </w:p>
    <w:p w14:paraId="39A1C5B7" w14:textId="722D747C" w:rsidR="00D27A13" w:rsidRDefault="00D27A13" w:rsidP="00D27A13">
      <w:pPr>
        <w:rPr>
          <w:rFonts w:ascii="Seaford" w:hAnsi="Seaford"/>
        </w:rPr>
      </w:pPr>
      <w:r>
        <w:rPr>
          <w:rFonts w:ascii="Seaford" w:hAnsi="Seaford"/>
        </w:rPr>
        <w:t>To illustrate the gravity of white</w:t>
      </w:r>
      <w:r w:rsidR="009A5771">
        <w:rPr>
          <w:rFonts w:ascii="Seaford" w:hAnsi="Seaford"/>
        </w:rPr>
        <w:t xml:space="preserve"> </w:t>
      </w:r>
      <w:r>
        <w:rPr>
          <w:rFonts w:ascii="Seaford" w:hAnsi="Seaford"/>
        </w:rPr>
        <w:t xml:space="preserve">bagging policies, consider these actual examples of compromised patient care: </w:t>
      </w:r>
    </w:p>
    <w:p w14:paraId="0E2AD9DF" w14:textId="2D7E3077" w:rsidR="00D27A13" w:rsidRPr="009A5771" w:rsidRDefault="00D27A13" w:rsidP="00D27A13">
      <w:pPr>
        <w:rPr>
          <w:rFonts w:ascii="Seaford" w:hAnsi="Seaford"/>
          <w:u w:val="single"/>
        </w:rPr>
      </w:pPr>
      <w:r w:rsidRPr="009A5771">
        <w:rPr>
          <w:rFonts w:ascii="Seaford" w:hAnsi="Seaford"/>
          <w:u w:val="single"/>
        </w:rPr>
        <w:t xml:space="preserve">1. Patient with hepatocellular cancer: Provider requests for new therapy were denied and patient </w:t>
      </w:r>
      <w:r w:rsidR="004765ED">
        <w:rPr>
          <w:rFonts w:ascii="Seaford" w:hAnsi="Seaford"/>
          <w:u w:val="single"/>
        </w:rPr>
        <w:t xml:space="preserve">was </w:t>
      </w:r>
      <w:r w:rsidRPr="009A5771">
        <w:rPr>
          <w:rFonts w:ascii="Seaford" w:hAnsi="Seaford"/>
          <w:u w:val="single"/>
        </w:rPr>
        <w:t>admitted for disease progression</w:t>
      </w:r>
      <w:r w:rsidR="004765ED">
        <w:rPr>
          <w:rFonts w:ascii="Seaford" w:hAnsi="Seaford"/>
          <w:u w:val="single"/>
        </w:rPr>
        <w:t>.</w:t>
      </w:r>
    </w:p>
    <w:p w14:paraId="1CF4F211" w14:textId="77777777" w:rsidR="00D27A13" w:rsidRPr="007925EB" w:rsidRDefault="00D27A13" w:rsidP="00D27A13">
      <w:pPr>
        <w:numPr>
          <w:ilvl w:val="0"/>
          <w:numId w:val="5"/>
        </w:numPr>
        <w:rPr>
          <w:rFonts w:ascii="Seaford" w:hAnsi="Seaford"/>
        </w:rPr>
      </w:pPr>
      <w:r w:rsidRPr="007925EB">
        <w:rPr>
          <w:rFonts w:ascii="Seaford" w:hAnsi="Seaford"/>
        </w:rPr>
        <w:t>Order placed: 10/6/2020</w:t>
      </w:r>
    </w:p>
    <w:p w14:paraId="7BF73689" w14:textId="3048590E" w:rsidR="00D27A13" w:rsidRPr="007925EB" w:rsidRDefault="00D27A13" w:rsidP="00D27A13">
      <w:pPr>
        <w:numPr>
          <w:ilvl w:val="0"/>
          <w:numId w:val="5"/>
        </w:numPr>
        <w:rPr>
          <w:rFonts w:ascii="Seaford" w:hAnsi="Seaford"/>
        </w:rPr>
      </w:pPr>
      <w:r w:rsidRPr="007925EB">
        <w:rPr>
          <w:rFonts w:ascii="Seaford" w:hAnsi="Seaford"/>
        </w:rPr>
        <w:t>P</w:t>
      </w:r>
      <w:r w:rsidR="009A5771">
        <w:rPr>
          <w:rFonts w:ascii="Seaford" w:hAnsi="Seaford"/>
        </w:rPr>
        <w:t>rior authorization</w:t>
      </w:r>
      <w:r w:rsidRPr="007925EB">
        <w:rPr>
          <w:rFonts w:ascii="Seaford" w:hAnsi="Seaford"/>
        </w:rPr>
        <w:t xml:space="preserve"> denied: 11/6/2020</w:t>
      </w:r>
    </w:p>
    <w:p w14:paraId="55F42718" w14:textId="77777777" w:rsidR="00D27A13" w:rsidRPr="007925EB" w:rsidRDefault="00D27A13" w:rsidP="00D27A13">
      <w:pPr>
        <w:numPr>
          <w:ilvl w:val="0"/>
          <w:numId w:val="5"/>
        </w:numPr>
        <w:rPr>
          <w:rFonts w:ascii="Seaford" w:hAnsi="Seaford"/>
        </w:rPr>
      </w:pPr>
      <w:r w:rsidRPr="007925EB">
        <w:rPr>
          <w:rFonts w:ascii="Seaford" w:hAnsi="Seaford"/>
        </w:rPr>
        <w:t>Reconsideration request sent: 11/13/20</w:t>
      </w:r>
    </w:p>
    <w:p w14:paraId="128CB158" w14:textId="77777777" w:rsidR="00D27A13" w:rsidRDefault="00D27A13" w:rsidP="00D27A13">
      <w:pPr>
        <w:numPr>
          <w:ilvl w:val="0"/>
          <w:numId w:val="5"/>
        </w:numPr>
        <w:rPr>
          <w:rFonts w:ascii="Seaford" w:hAnsi="Seaford"/>
        </w:rPr>
      </w:pPr>
      <w:r w:rsidRPr="007925EB">
        <w:rPr>
          <w:rFonts w:ascii="Seaford" w:hAnsi="Seaford"/>
        </w:rPr>
        <w:t>Denial received: 11/16/2020</w:t>
      </w:r>
    </w:p>
    <w:p w14:paraId="3A7C267B" w14:textId="2EB82713" w:rsidR="00D27A13" w:rsidRPr="0091255C" w:rsidRDefault="00D27A13" w:rsidP="009A5771">
      <w:pPr>
        <w:rPr>
          <w:rFonts w:ascii="Seaford" w:hAnsi="Seaford"/>
          <w:b/>
          <w:bCs/>
        </w:rPr>
      </w:pPr>
      <w:r w:rsidRPr="0091255C">
        <w:rPr>
          <w:rFonts w:ascii="Seaford" w:hAnsi="Seaford"/>
          <w:b/>
          <w:bCs/>
        </w:rPr>
        <w:t xml:space="preserve">IMPACT:  </w:t>
      </w:r>
      <w:r>
        <w:rPr>
          <w:rFonts w:ascii="Seaford" w:hAnsi="Seaford"/>
        </w:rPr>
        <w:t>40-day</w:t>
      </w:r>
      <w:r w:rsidRPr="00341EE2">
        <w:rPr>
          <w:rFonts w:ascii="Seaford" w:hAnsi="Seaford"/>
        </w:rPr>
        <w:t xml:space="preserve"> delay in therapy with resultant disease progression</w:t>
      </w:r>
    </w:p>
    <w:p w14:paraId="47DD0849" w14:textId="4EA2537C" w:rsidR="00D27A13" w:rsidRPr="009A5771" w:rsidRDefault="00D27A13" w:rsidP="00D27A13">
      <w:pPr>
        <w:rPr>
          <w:rFonts w:ascii="Seaford" w:hAnsi="Seaford"/>
          <w:u w:val="single"/>
        </w:rPr>
      </w:pPr>
      <w:r w:rsidRPr="009A5771">
        <w:rPr>
          <w:rFonts w:ascii="Seaford" w:hAnsi="Seaford"/>
          <w:u w:val="single"/>
        </w:rPr>
        <w:t xml:space="preserve">2. Expired drug shipped: Retail pharmacy noted medication </w:t>
      </w:r>
      <w:proofErr w:type="gramStart"/>
      <w:r w:rsidRPr="009A5771">
        <w:rPr>
          <w:rFonts w:ascii="Seaford" w:hAnsi="Seaford"/>
          <w:u w:val="single"/>
        </w:rPr>
        <w:t>wasn’t</w:t>
      </w:r>
      <w:proofErr w:type="gramEnd"/>
      <w:r w:rsidRPr="009A5771">
        <w:rPr>
          <w:rFonts w:ascii="Seaford" w:hAnsi="Seaford"/>
          <w:u w:val="single"/>
        </w:rPr>
        <w:t xml:space="preserve"> expired, but it was.</w:t>
      </w:r>
    </w:p>
    <w:p w14:paraId="0593BCED" w14:textId="77777777" w:rsidR="00D27A13" w:rsidRPr="00341EE2" w:rsidRDefault="00D27A13" w:rsidP="00D27A13">
      <w:pPr>
        <w:rPr>
          <w:rFonts w:ascii="Seaford" w:hAnsi="Seaford"/>
        </w:rPr>
      </w:pPr>
      <w:r w:rsidRPr="00341EE2">
        <w:rPr>
          <w:rFonts w:ascii="Seaford" w:hAnsi="Seaford"/>
          <w:b/>
          <w:bCs/>
        </w:rPr>
        <w:t>IMPACT</w:t>
      </w:r>
      <w:r w:rsidRPr="00341EE2">
        <w:rPr>
          <w:rFonts w:ascii="Seaford" w:hAnsi="Seaford"/>
        </w:rPr>
        <w:t>:  Potential administration of expired drug with treatment delay</w:t>
      </w:r>
    </w:p>
    <w:p w14:paraId="0FC392DD" w14:textId="3983B025" w:rsidR="00D27A13" w:rsidRPr="009A5771" w:rsidRDefault="00D27A13" w:rsidP="00D27A13">
      <w:pPr>
        <w:rPr>
          <w:rFonts w:ascii="Seaford" w:hAnsi="Seaford"/>
          <w:u w:val="single"/>
        </w:rPr>
      </w:pPr>
      <w:r w:rsidRPr="009A5771">
        <w:rPr>
          <w:rFonts w:ascii="Seaford" w:hAnsi="Seaford"/>
          <w:u w:val="single"/>
        </w:rPr>
        <w:t>3. Patient with liposarcoma pending discharge: Unable to get medications shipped from mandated specialty pharmacy</w:t>
      </w:r>
    </w:p>
    <w:p w14:paraId="5CE5D5B1" w14:textId="77777777" w:rsidR="00D27A13" w:rsidRPr="00341EE2" w:rsidRDefault="00D27A13" w:rsidP="00D27A13">
      <w:pPr>
        <w:rPr>
          <w:rFonts w:ascii="Seaford" w:hAnsi="Seaford"/>
        </w:rPr>
      </w:pPr>
      <w:r w:rsidRPr="00341EE2">
        <w:rPr>
          <w:rFonts w:ascii="Seaford" w:hAnsi="Seaford"/>
          <w:b/>
          <w:bCs/>
        </w:rPr>
        <w:t>IMPACT:</w:t>
      </w:r>
      <w:r w:rsidRPr="00341EE2">
        <w:rPr>
          <w:rFonts w:ascii="Seaford" w:hAnsi="Seaford"/>
        </w:rPr>
        <w:t xml:space="preserve">  Patient discharge delay</w:t>
      </w:r>
    </w:p>
    <w:p w14:paraId="7843C3FC" w14:textId="245B4E83" w:rsidR="00D27A13" w:rsidRPr="009A5771" w:rsidRDefault="00D27A13" w:rsidP="00D27A13">
      <w:pPr>
        <w:rPr>
          <w:rFonts w:ascii="Seaford" w:hAnsi="Seaford"/>
          <w:b/>
          <w:bCs/>
          <w:u w:val="single"/>
        </w:rPr>
      </w:pPr>
      <w:r w:rsidRPr="009A5771">
        <w:rPr>
          <w:rFonts w:ascii="Seaford" w:hAnsi="Seaford"/>
          <w:u w:val="single"/>
        </w:rPr>
        <w:t>4. Patient with a neuroendocrine tumor: Unable to afford</w:t>
      </w:r>
      <w:r w:rsidRPr="009A5771">
        <w:rPr>
          <w:rFonts w:ascii="Seaford" w:hAnsi="Seaford"/>
          <w:b/>
          <w:bCs/>
          <w:u w:val="single"/>
        </w:rPr>
        <w:t xml:space="preserve"> </w:t>
      </w:r>
      <w:r w:rsidRPr="009A5771">
        <w:rPr>
          <w:rFonts w:ascii="Seaford" w:hAnsi="Seaford"/>
          <w:u w:val="single"/>
        </w:rPr>
        <w:t xml:space="preserve">their share of cost </w:t>
      </w:r>
      <w:proofErr w:type="gramStart"/>
      <w:r w:rsidRPr="009A5771">
        <w:rPr>
          <w:rFonts w:ascii="Seaford" w:hAnsi="Seaford"/>
          <w:u w:val="single"/>
        </w:rPr>
        <w:t>as a result of</w:t>
      </w:r>
      <w:proofErr w:type="gramEnd"/>
      <w:r w:rsidRPr="009A5771">
        <w:rPr>
          <w:rFonts w:ascii="Seaford" w:hAnsi="Seaford"/>
          <w:u w:val="single"/>
        </w:rPr>
        <w:t xml:space="preserve"> the conversion from medical benefit to pharmacy benefit</w:t>
      </w:r>
    </w:p>
    <w:p w14:paraId="5AC28ED6" w14:textId="77777777" w:rsidR="00D27A13" w:rsidRPr="00834A69" w:rsidRDefault="00D27A13" w:rsidP="00D27A13">
      <w:pPr>
        <w:rPr>
          <w:rFonts w:ascii="Seaford" w:hAnsi="Seaford"/>
        </w:rPr>
      </w:pPr>
      <w:r w:rsidRPr="00834A69">
        <w:rPr>
          <w:rFonts w:ascii="Seaford" w:hAnsi="Seaford"/>
          <w:b/>
          <w:bCs/>
        </w:rPr>
        <w:t>IMPACT</w:t>
      </w:r>
      <w:r w:rsidRPr="00834A69">
        <w:rPr>
          <w:rFonts w:ascii="Seaford" w:hAnsi="Seaford"/>
        </w:rPr>
        <w:t>:  Two-month delay in therapy</w:t>
      </w:r>
    </w:p>
    <w:p w14:paraId="74EE7DFB" w14:textId="7501CDDB" w:rsidR="00D27A13" w:rsidRDefault="00D27A13" w:rsidP="00D27A13">
      <w:pPr>
        <w:rPr>
          <w:rFonts w:ascii="Seaford" w:hAnsi="Seaford"/>
        </w:rPr>
      </w:pPr>
      <w:r>
        <w:rPr>
          <w:rFonts w:ascii="Seaford" w:hAnsi="Seaford"/>
        </w:rPr>
        <w:t xml:space="preserve">CHA and our member hospitals have actively advocated against this policy at many levels over the past year when the policy was first introduced. We met with the Department of Managed Health Care (DMHC) and submitted a letter of concern to the department in January 2021. We have also met with other concerned associations such as </w:t>
      </w:r>
      <w:r w:rsidR="009A5771">
        <w:rPr>
          <w:rFonts w:ascii="Seaford" w:hAnsi="Seaford"/>
        </w:rPr>
        <w:t>the California Children’s Hospital Association</w:t>
      </w:r>
      <w:r>
        <w:rPr>
          <w:rFonts w:ascii="Seaford" w:hAnsi="Seaford"/>
        </w:rPr>
        <w:t xml:space="preserve">, the California Medical Association, </w:t>
      </w:r>
      <w:r w:rsidR="009A5771">
        <w:rPr>
          <w:rFonts w:ascii="Seaford" w:hAnsi="Seaford"/>
        </w:rPr>
        <w:t>California America’s Physician Groups</w:t>
      </w:r>
      <w:r>
        <w:rPr>
          <w:rFonts w:ascii="Seaford" w:hAnsi="Seaford"/>
        </w:rPr>
        <w:t xml:space="preserve">, </w:t>
      </w:r>
      <w:r w:rsidR="009A5771">
        <w:rPr>
          <w:rFonts w:ascii="Seaford" w:hAnsi="Seaford"/>
        </w:rPr>
        <w:t>Association of Northern California Oncologists</w:t>
      </w:r>
      <w:r>
        <w:rPr>
          <w:rFonts w:ascii="Seaford" w:hAnsi="Seaford"/>
        </w:rPr>
        <w:t>, and the American Cancer Society</w:t>
      </w:r>
      <w:r w:rsidR="009A5771">
        <w:rPr>
          <w:rFonts w:ascii="Seaford" w:hAnsi="Seaford"/>
        </w:rPr>
        <w:t xml:space="preserve"> California</w:t>
      </w:r>
      <w:r>
        <w:rPr>
          <w:rFonts w:ascii="Seaford" w:hAnsi="Seaford"/>
        </w:rPr>
        <w:t>. Most importantly, we worked closely with the Board of Pharmacy (BoP), which held an informational session in February with all related constituents. The BoP subsequently recommended at its April board meeting that we continue to educate ourselves and the public on the topic, track other state and jurisdictional activity related to white bagging, and report consumer safety issues to them and to DMHC.</w:t>
      </w:r>
    </w:p>
    <w:p w14:paraId="7C640901" w14:textId="61432F8F" w:rsidR="00D27A13" w:rsidRDefault="00D27A13" w:rsidP="00D27A13">
      <w:pPr>
        <w:rPr>
          <w:rFonts w:ascii="Seaford" w:hAnsi="Seaford"/>
        </w:rPr>
      </w:pPr>
      <w:r>
        <w:rPr>
          <w:rFonts w:ascii="Seaford" w:hAnsi="Seaford"/>
        </w:rPr>
        <w:lastRenderedPageBreak/>
        <w:t xml:space="preserve">We are closely watching legislative activity in five other states with pending legislation and in Louisiana, which unanimously passed legislation last month prohibiting white bagging.  </w:t>
      </w:r>
    </w:p>
    <w:p w14:paraId="7DEED2C7" w14:textId="1A695484" w:rsidR="009A5771" w:rsidRPr="009A5771" w:rsidRDefault="00D27A13" w:rsidP="009A5771">
      <w:pPr>
        <w:rPr>
          <w:rFonts w:ascii="Seaford" w:hAnsi="Seaford" w:cs="Calibri"/>
        </w:rPr>
      </w:pPr>
      <w:r>
        <w:rPr>
          <w:rFonts w:ascii="Seaford" w:hAnsi="Seaford"/>
        </w:rPr>
        <w:t xml:space="preserve">CHA and its member hospitals are committed to safe, timely delivery of life-saving drugs. We share our concerns so that you are fully aware of the risk to California patients, and we welcome additional conversation </w:t>
      </w:r>
      <w:r w:rsidR="009A5771">
        <w:rPr>
          <w:rFonts w:ascii="Seaford" w:hAnsi="Seaford"/>
        </w:rPr>
        <w:t>to</w:t>
      </w:r>
      <w:r>
        <w:rPr>
          <w:rFonts w:ascii="Seaford" w:hAnsi="Seaford"/>
        </w:rPr>
        <w:t xml:space="preserve"> further clarify any of these public safety issues. Please </w:t>
      </w:r>
      <w:proofErr w:type="gramStart"/>
      <w:r>
        <w:rPr>
          <w:rFonts w:ascii="Seaford" w:hAnsi="Seaford"/>
        </w:rPr>
        <w:t>don’t</w:t>
      </w:r>
      <w:proofErr w:type="gramEnd"/>
      <w:r>
        <w:rPr>
          <w:rFonts w:ascii="Seaford" w:hAnsi="Seaford"/>
        </w:rPr>
        <w:t xml:space="preserve"> hesitate to contact me at </w:t>
      </w:r>
      <w:r w:rsidR="009A5771" w:rsidRPr="009A5771">
        <w:rPr>
          <w:rFonts w:ascii="Seaford" w:hAnsi="Seaford"/>
        </w:rPr>
        <w:t>(916) 206-8714.</w:t>
      </w:r>
    </w:p>
    <w:p w14:paraId="1F97E199" w14:textId="4E190C89" w:rsidR="00D27A13" w:rsidRDefault="00D27A13" w:rsidP="00D27A13">
      <w:pPr>
        <w:rPr>
          <w:rFonts w:ascii="Seaford" w:hAnsi="Seaford"/>
        </w:rPr>
      </w:pPr>
      <w:r>
        <w:rPr>
          <w:rFonts w:ascii="Seaford" w:hAnsi="Seaford"/>
        </w:rPr>
        <w:t>Sincerely,</w:t>
      </w:r>
    </w:p>
    <w:p w14:paraId="20B65E49" w14:textId="77777777" w:rsidR="00D27A13" w:rsidRDefault="00D27A13" w:rsidP="00D27A13">
      <w:pPr>
        <w:rPr>
          <w:rFonts w:ascii="Seaford" w:hAnsi="Seaford"/>
        </w:rPr>
      </w:pPr>
    </w:p>
    <w:p w14:paraId="0F4BD6BD" w14:textId="77777777" w:rsidR="00D27A13" w:rsidRDefault="00D27A13" w:rsidP="00D27A13">
      <w:pPr>
        <w:spacing w:after="0"/>
        <w:rPr>
          <w:rFonts w:ascii="Seaford" w:hAnsi="Seaford"/>
        </w:rPr>
      </w:pPr>
      <w:r>
        <w:rPr>
          <w:rFonts w:ascii="Seaford" w:hAnsi="Seaford"/>
        </w:rPr>
        <w:t>BJ Bartleson, RN, MS, NEA-BC</w:t>
      </w:r>
    </w:p>
    <w:p w14:paraId="6B79B752" w14:textId="77777777" w:rsidR="00D27A13" w:rsidRDefault="00D27A13" w:rsidP="00D27A13">
      <w:pPr>
        <w:spacing w:after="0"/>
        <w:rPr>
          <w:rFonts w:ascii="Seaford" w:hAnsi="Seaford"/>
        </w:rPr>
      </w:pPr>
      <w:r>
        <w:rPr>
          <w:rFonts w:ascii="Seaford" w:hAnsi="Seaford"/>
        </w:rPr>
        <w:t>VP Nursing &amp; Clinical Services</w:t>
      </w:r>
    </w:p>
    <w:p w14:paraId="377ABA81" w14:textId="77777777" w:rsidR="00D27A13" w:rsidRDefault="00D27A13" w:rsidP="00D27A13">
      <w:pPr>
        <w:rPr>
          <w:rFonts w:ascii="Seaford" w:hAnsi="Seaford"/>
        </w:rPr>
      </w:pPr>
    </w:p>
    <w:p w14:paraId="08CC384B" w14:textId="088BD56A" w:rsidR="009A5771" w:rsidRDefault="00D27A13" w:rsidP="009A5771">
      <w:pPr>
        <w:spacing w:after="0" w:line="240" w:lineRule="auto"/>
        <w:rPr>
          <w:rFonts w:ascii="Seaford" w:hAnsi="Seaford"/>
        </w:rPr>
      </w:pPr>
      <w:r>
        <w:rPr>
          <w:rFonts w:ascii="Seaford" w:hAnsi="Seaford"/>
        </w:rPr>
        <w:t xml:space="preserve">CC: </w:t>
      </w:r>
      <w:r w:rsidR="009A5771">
        <w:rPr>
          <w:rFonts w:ascii="Seaford" w:hAnsi="Seaford"/>
        </w:rPr>
        <w:tab/>
      </w:r>
      <w:r>
        <w:rPr>
          <w:rFonts w:ascii="Seaford" w:hAnsi="Seaford"/>
        </w:rPr>
        <w:t xml:space="preserve">Mary Watanabe, </w:t>
      </w:r>
      <w:r w:rsidR="004765ED">
        <w:rPr>
          <w:rFonts w:ascii="Seaford" w:hAnsi="Seaford"/>
        </w:rPr>
        <w:t>Department of Managed Health Care</w:t>
      </w:r>
      <w:r>
        <w:rPr>
          <w:rFonts w:ascii="Seaford" w:hAnsi="Seaford"/>
        </w:rPr>
        <w:t xml:space="preserve">        </w:t>
      </w:r>
    </w:p>
    <w:p w14:paraId="3B5E1237" w14:textId="19631292" w:rsidR="00D27A13" w:rsidRDefault="00D27A13" w:rsidP="009A5771">
      <w:pPr>
        <w:spacing w:after="0" w:line="240" w:lineRule="auto"/>
        <w:ind w:firstLine="720"/>
        <w:rPr>
          <w:rFonts w:ascii="Seaford" w:hAnsi="Seaford"/>
        </w:rPr>
      </w:pPr>
      <w:r>
        <w:rPr>
          <w:rFonts w:ascii="Seaford" w:hAnsi="Seaford"/>
        </w:rPr>
        <w:t>Anne Sodergren, Board of Pharmacy</w:t>
      </w:r>
    </w:p>
    <w:p w14:paraId="22ED9C5A" w14:textId="77777777" w:rsidR="00D27A13" w:rsidRDefault="00D27A13" w:rsidP="00D27A13">
      <w:pPr>
        <w:rPr>
          <w:rFonts w:ascii="Seaford" w:hAnsi="Seaford"/>
        </w:rPr>
      </w:pPr>
    </w:p>
    <w:p w14:paraId="1093F068" w14:textId="77777777" w:rsidR="00D27A13" w:rsidRDefault="00D27A13" w:rsidP="00D27A13">
      <w:pPr>
        <w:rPr>
          <w:rFonts w:ascii="Seaford" w:hAnsi="Seaford"/>
        </w:rPr>
      </w:pPr>
    </w:p>
    <w:p w14:paraId="167A72BE" w14:textId="77777777" w:rsidR="00D27A13" w:rsidRPr="0055700F" w:rsidRDefault="00D27A13" w:rsidP="00D27A13">
      <w:pPr>
        <w:rPr>
          <w:rFonts w:ascii="Seaford" w:hAnsi="Seaford"/>
        </w:rPr>
      </w:pPr>
    </w:p>
    <w:p w14:paraId="54FC2FD5" w14:textId="77777777" w:rsidR="004B0061" w:rsidRDefault="004B0061" w:rsidP="0085009E">
      <w:pPr>
        <w:rPr>
          <w:rFonts w:ascii="Seaford" w:hAnsi="Seaford" w:cs="Arial"/>
        </w:rPr>
      </w:pPr>
    </w:p>
    <w:p w14:paraId="69C3ED6C" w14:textId="77777777" w:rsidR="00C46B47" w:rsidRPr="0085009E" w:rsidRDefault="00C46B47" w:rsidP="0085009E">
      <w:pPr>
        <w:rPr>
          <w:rFonts w:ascii="Seaford" w:hAnsi="Seaford" w:cs="Arial"/>
        </w:rPr>
      </w:pPr>
    </w:p>
    <w:sectPr w:rsidR="00C46B47" w:rsidRPr="0085009E" w:rsidSect="007223D0">
      <w:headerReference w:type="even" r:id="rId12"/>
      <w:headerReference w:type="default" r:id="rId13"/>
      <w:footerReference w:type="default" r:id="rId14"/>
      <w:headerReference w:type="first" r:id="rId15"/>
      <w:footerReference w:type="first" r:id="rId16"/>
      <w:type w:val="continuous"/>
      <w:pgSz w:w="12240" w:h="15840" w:code="1"/>
      <w:pgMar w:top="1080" w:right="1080" w:bottom="1080" w:left="1080" w:header="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AF9B1" w14:textId="77777777" w:rsidR="009E3937" w:rsidRDefault="009E3937">
      <w:r>
        <w:separator/>
      </w:r>
    </w:p>
  </w:endnote>
  <w:endnote w:type="continuationSeparator" w:id="0">
    <w:p w14:paraId="74BB5877" w14:textId="77777777" w:rsidR="009E3937" w:rsidRDefault="009E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aford">
    <w:altName w:val="Seaford"/>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12FA" w14:textId="77777777" w:rsidR="00CC3076" w:rsidRDefault="00CC3076">
    <w:pPr>
      <w:pStyle w:val="Footer"/>
      <w:rPr>
        <w:noProof/>
      </w:rPr>
    </w:pPr>
  </w:p>
  <w:p w14:paraId="43E2BE7D" w14:textId="77777777" w:rsidR="00CC3076" w:rsidRDefault="004B0061">
    <w:pPr>
      <w:pStyle w:val="Footer"/>
    </w:pPr>
    <w:r>
      <w:rPr>
        <w:noProof/>
      </w:rPr>
      <w:drawing>
        <wp:inline distT="0" distB="0" distL="0" distR="0" wp14:anchorId="03F05F61" wp14:editId="3787B261">
          <wp:extent cx="64008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0"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5ECD" w14:textId="77777777" w:rsidR="00BB03F3" w:rsidRDefault="003F7BE3" w:rsidP="001C251E">
    <w:pPr>
      <w:pStyle w:val="Footer"/>
      <w:spacing w:before="280"/>
      <w:jc w:val="center"/>
    </w:pPr>
    <w:r>
      <w:rPr>
        <w:noProof/>
      </w:rPr>
      <w:drawing>
        <wp:inline distT="0" distB="0" distL="0" distR="0" wp14:anchorId="46602E28" wp14:editId="72D79449">
          <wp:extent cx="64008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A7D6" w14:textId="77777777" w:rsidR="009E3937" w:rsidRDefault="009E3937">
      <w:r>
        <w:separator/>
      </w:r>
    </w:p>
  </w:footnote>
  <w:footnote w:type="continuationSeparator" w:id="0">
    <w:p w14:paraId="13A7F386" w14:textId="77777777" w:rsidR="009E3937" w:rsidRDefault="009E3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82C4" w14:textId="77777777" w:rsidR="00BB03F3" w:rsidRDefault="00BB0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4A54">
      <w:rPr>
        <w:rStyle w:val="PageNumber"/>
        <w:noProof/>
      </w:rPr>
      <w:t>2</w:t>
    </w:r>
    <w:r>
      <w:rPr>
        <w:rStyle w:val="PageNumber"/>
      </w:rPr>
      <w:fldChar w:fldCharType="end"/>
    </w:r>
  </w:p>
  <w:p w14:paraId="69D85DE9" w14:textId="77777777" w:rsidR="00BB03F3" w:rsidRDefault="00BB03F3">
    <w:pPr>
      <w:ind w:right="360"/>
    </w:pPr>
    <w:r>
      <w:t>Addressee</w:t>
    </w:r>
    <w:r>
      <w:tab/>
    </w:r>
    <w:r>
      <w:tab/>
    </w:r>
    <w:r>
      <w:tab/>
    </w:r>
    <w:r>
      <w:tab/>
    </w:r>
    <w:r>
      <w:tab/>
    </w:r>
    <w:r>
      <w:tab/>
    </w:r>
    <w:r>
      <w:tab/>
    </w:r>
    <w:r>
      <w:tab/>
    </w:r>
    <w:r>
      <w:tab/>
    </w:r>
    <w:r>
      <w:tab/>
    </w:r>
    <w:r>
      <w:tab/>
      <w:t>Page 2</w:t>
    </w:r>
  </w:p>
  <w:p w14:paraId="2C97AEA4" w14:textId="77777777" w:rsidR="00BB03F3" w:rsidRDefault="00BB03F3">
    <w:pPr>
      <w:pStyle w:val="Header"/>
    </w:pPr>
    <w:r>
      <w:t>Date</w:t>
    </w:r>
  </w:p>
  <w:p w14:paraId="52139674" w14:textId="77777777" w:rsidR="00BB03F3" w:rsidRDefault="00807130">
    <w:pPr>
      <w:pStyle w:val="Header"/>
    </w:pPr>
    <w:r>
      <w:rPr>
        <w:noProof/>
      </w:rPr>
      <w:pict w14:anchorId="1A2120B4">
        <v:rect id="_x0000_i1025" alt="" style="width:468pt;height:.05pt;mso-width-percent:0;mso-height-percent:0;mso-width-percent:0;mso-height-percent:0" o:hralign="center" o:hrstd="t" o:hr="t" fillcolor="gray" stroked="f"/>
      </w:pict>
    </w:r>
  </w:p>
  <w:p w14:paraId="547FC7EA" w14:textId="77777777" w:rsidR="004A3B02" w:rsidRDefault="004A3B02"/>
  <w:p w14:paraId="45254BCD" w14:textId="77777777" w:rsidR="004A3B02" w:rsidRDefault="004A3B02"/>
  <w:p w14:paraId="42D9D19D" w14:textId="77777777" w:rsidR="004A3B02" w:rsidRDefault="004A3B02"/>
  <w:p w14:paraId="394B3B38" w14:textId="77777777" w:rsidR="004A3B02" w:rsidRDefault="004A3B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D535" w14:textId="77777777" w:rsidR="00D27A13" w:rsidRDefault="00D27A13">
    <w:pPr>
      <w:pStyle w:val="Header"/>
    </w:pPr>
  </w:p>
  <w:p w14:paraId="0C737F53" w14:textId="3301876B" w:rsidR="00D27A13" w:rsidRPr="005E1FDD" w:rsidRDefault="00D27A13" w:rsidP="009A5771">
    <w:pPr>
      <w:pStyle w:val="Header"/>
      <w:spacing w:after="0" w:line="240" w:lineRule="auto"/>
      <w:rPr>
        <w:rFonts w:ascii="Seaford" w:hAnsi="Seaford"/>
      </w:rPr>
    </w:pPr>
    <w:r w:rsidRPr="005E1FDD">
      <w:rPr>
        <w:rFonts w:ascii="Seaford" w:hAnsi="Seaford"/>
      </w:rPr>
      <w:t>Director Kirchmeyer</w:t>
    </w:r>
  </w:p>
  <w:p w14:paraId="7E7E4EFA" w14:textId="2CE41C16" w:rsidR="00D27A13" w:rsidRPr="005E1FDD" w:rsidRDefault="00D27A13" w:rsidP="009A5771">
    <w:pPr>
      <w:pStyle w:val="Header"/>
      <w:spacing w:after="0" w:line="240" w:lineRule="auto"/>
      <w:rPr>
        <w:rFonts w:ascii="Seaford" w:hAnsi="Seaford"/>
      </w:rPr>
    </w:pPr>
    <w:r w:rsidRPr="005E1FDD">
      <w:rPr>
        <w:rFonts w:ascii="Seaford" w:hAnsi="Seaford"/>
      </w:rPr>
      <w:t xml:space="preserve">July </w:t>
    </w:r>
    <w:r w:rsidR="005E1FDD" w:rsidRPr="005E1FDD">
      <w:rPr>
        <w:rFonts w:ascii="Seaford" w:hAnsi="Seaford"/>
      </w:rPr>
      <w:t>16</w:t>
    </w:r>
    <w:r w:rsidRPr="005E1FDD">
      <w:rPr>
        <w:rFonts w:ascii="Seaford" w:hAnsi="Seaford"/>
      </w:rPr>
      <w:t>, 2021</w:t>
    </w:r>
  </w:p>
  <w:p w14:paraId="24641345" w14:textId="77777777" w:rsidR="00D27A13" w:rsidRDefault="00D27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79AE" w14:textId="77777777" w:rsidR="00BB03F3" w:rsidRPr="002334E2" w:rsidRDefault="003F7BE3" w:rsidP="00CB6CDA">
    <w:pPr>
      <w:pStyle w:val="Header"/>
      <w:spacing w:after="720"/>
      <w:jc w:val="both"/>
      <w:rPr>
        <w:b/>
      </w:rPr>
    </w:pPr>
    <w:r>
      <w:rPr>
        <w:b/>
        <w:noProof/>
      </w:rPr>
      <w:drawing>
        <wp:inline distT="0" distB="0" distL="0" distR="0" wp14:anchorId="6BD2F82C" wp14:editId="17878E06">
          <wp:extent cx="6400800" cy="142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0" cy="1422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B537F"/>
    <w:multiLevelType w:val="hybridMultilevel"/>
    <w:tmpl w:val="058E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3150E"/>
    <w:multiLevelType w:val="hybridMultilevel"/>
    <w:tmpl w:val="DFCC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43965"/>
    <w:multiLevelType w:val="hybridMultilevel"/>
    <w:tmpl w:val="3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54983"/>
    <w:multiLevelType w:val="hybridMultilevel"/>
    <w:tmpl w:val="EA4E7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36016"/>
    <w:multiLevelType w:val="hybridMultilevel"/>
    <w:tmpl w:val="0644A026"/>
    <w:lvl w:ilvl="0" w:tplc="5DF4D550">
      <w:start w:val="1"/>
      <w:numFmt w:val="bullet"/>
      <w:lvlText w:val=""/>
      <w:lvlJc w:val="left"/>
      <w:pPr>
        <w:tabs>
          <w:tab w:val="num" w:pos="720"/>
        </w:tabs>
        <w:ind w:left="720" w:hanging="360"/>
      </w:pPr>
      <w:rPr>
        <w:rFonts w:ascii="Wingdings" w:hAnsi="Wingdings" w:hint="default"/>
      </w:rPr>
    </w:lvl>
    <w:lvl w:ilvl="1" w:tplc="092C4C0A" w:tentative="1">
      <w:start w:val="1"/>
      <w:numFmt w:val="bullet"/>
      <w:lvlText w:val=""/>
      <w:lvlJc w:val="left"/>
      <w:pPr>
        <w:tabs>
          <w:tab w:val="num" w:pos="1440"/>
        </w:tabs>
        <w:ind w:left="1440" w:hanging="360"/>
      </w:pPr>
      <w:rPr>
        <w:rFonts w:ascii="Wingdings" w:hAnsi="Wingdings" w:hint="default"/>
      </w:rPr>
    </w:lvl>
    <w:lvl w:ilvl="2" w:tplc="76284F0E" w:tentative="1">
      <w:start w:val="1"/>
      <w:numFmt w:val="bullet"/>
      <w:lvlText w:val=""/>
      <w:lvlJc w:val="left"/>
      <w:pPr>
        <w:tabs>
          <w:tab w:val="num" w:pos="2160"/>
        </w:tabs>
        <w:ind w:left="2160" w:hanging="360"/>
      </w:pPr>
      <w:rPr>
        <w:rFonts w:ascii="Wingdings" w:hAnsi="Wingdings" w:hint="default"/>
      </w:rPr>
    </w:lvl>
    <w:lvl w:ilvl="3" w:tplc="3EACB4C8" w:tentative="1">
      <w:start w:val="1"/>
      <w:numFmt w:val="bullet"/>
      <w:lvlText w:val=""/>
      <w:lvlJc w:val="left"/>
      <w:pPr>
        <w:tabs>
          <w:tab w:val="num" w:pos="2880"/>
        </w:tabs>
        <w:ind w:left="2880" w:hanging="360"/>
      </w:pPr>
      <w:rPr>
        <w:rFonts w:ascii="Wingdings" w:hAnsi="Wingdings" w:hint="default"/>
      </w:rPr>
    </w:lvl>
    <w:lvl w:ilvl="4" w:tplc="15662BFA" w:tentative="1">
      <w:start w:val="1"/>
      <w:numFmt w:val="bullet"/>
      <w:lvlText w:val=""/>
      <w:lvlJc w:val="left"/>
      <w:pPr>
        <w:tabs>
          <w:tab w:val="num" w:pos="3600"/>
        </w:tabs>
        <w:ind w:left="3600" w:hanging="360"/>
      </w:pPr>
      <w:rPr>
        <w:rFonts w:ascii="Wingdings" w:hAnsi="Wingdings" w:hint="default"/>
      </w:rPr>
    </w:lvl>
    <w:lvl w:ilvl="5" w:tplc="8F4AACA4" w:tentative="1">
      <w:start w:val="1"/>
      <w:numFmt w:val="bullet"/>
      <w:lvlText w:val=""/>
      <w:lvlJc w:val="left"/>
      <w:pPr>
        <w:tabs>
          <w:tab w:val="num" w:pos="4320"/>
        </w:tabs>
        <w:ind w:left="4320" w:hanging="360"/>
      </w:pPr>
      <w:rPr>
        <w:rFonts w:ascii="Wingdings" w:hAnsi="Wingdings" w:hint="default"/>
      </w:rPr>
    </w:lvl>
    <w:lvl w:ilvl="6" w:tplc="A8540E38" w:tentative="1">
      <w:start w:val="1"/>
      <w:numFmt w:val="bullet"/>
      <w:lvlText w:val=""/>
      <w:lvlJc w:val="left"/>
      <w:pPr>
        <w:tabs>
          <w:tab w:val="num" w:pos="5040"/>
        </w:tabs>
        <w:ind w:left="5040" w:hanging="360"/>
      </w:pPr>
      <w:rPr>
        <w:rFonts w:ascii="Wingdings" w:hAnsi="Wingdings" w:hint="default"/>
      </w:rPr>
    </w:lvl>
    <w:lvl w:ilvl="7" w:tplc="C764F6E0" w:tentative="1">
      <w:start w:val="1"/>
      <w:numFmt w:val="bullet"/>
      <w:lvlText w:val=""/>
      <w:lvlJc w:val="left"/>
      <w:pPr>
        <w:tabs>
          <w:tab w:val="num" w:pos="5760"/>
        </w:tabs>
        <w:ind w:left="5760" w:hanging="360"/>
      </w:pPr>
      <w:rPr>
        <w:rFonts w:ascii="Wingdings" w:hAnsi="Wingdings" w:hint="default"/>
      </w:rPr>
    </w:lvl>
    <w:lvl w:ilvl="8" w:tplc="992003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AA3445"/>
    <w:multiLevelType w:val="hybridMultilevel"/>
    <w:tmpl w:val="C5D28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A13"/>
    <w:rsid w:val="00064662"/>
    <w:rsid w:val="00071E8A"/>
    <w:rsid w:val="00096368"/>
    <w:rsid w:val="000E7C0B"/>
    <w:rsid w:val="00116E21"/>
    <w:rsid w:val="00154576"/>
    <w:rsid w:val="00155815"/>
    <w:rsid w:val="0016136B"/>
    <w:rsid w:val="001C251E"/>
    <w:rsid w:val="001D00D4"/>
    <w:rsid w:val="002334E2"/>
    <w:rsid w:val="00236BC1"/>
    <w:rsid w:val="002A4354"/>
    <w:rsid w:val="002D4F68"/>
    <w:rsid w:val="002D617E"/>
    <w:rsid w:val="00316564"/>
    <w:rsid w:val="00344CA6"/>
    <w:rsid w:val="003F7BE3"/>
    <w:rsid w:val="004079BA"/>
    <w:rsid w:val="00415108"/>
    <w:rsid w:val="00427732"/>
    <w:rsid w:val="00452EAF"/>
    <w:rsid w:val="004765ED"/>
    <w:rsid w:val="004A3B02"/>
    <w:rsid w:val="004B0061"/>
    <w:rsid w:val="004B0C70"/>
    <w:rsid w:val="004B5C55"/>
    <w:rsid w:val="004F7AA8"/>
    <w:rsid w:val="005413FC"/>
    <w:rsid w:val="00550BC5"/>
    <w:rsid w:val="00567D5E"/>
    <w:rsid w:val="005E1FDD"/>
    <w:rsid w:val="00603D2E"/>
    <w:rsid w:val="006312E5"/>
    <w:rsid w:val="0063443D"/>
    <w:rsid w:val="006735DD"/>
    <w:rsid w:val="00694BC1"/>
    <w:rsid w:val="006B7966"/>
    <w:rsid w:val="006D0FDF"/>
    <w:rsid w:val="006E36AD"/>
    <w:rsid w:val="006E62CD"/>
    <w:rsid w:val="00716A4E"/>
    <w:rsid w:val="007223D0"/>
    <w:rsid w:val="007229E2"/>
    <w:rsid w:val="00731D2D"/>
    <w:rsid w:val="007A7B6D"/>
    <w:rsid w:val="007B5DF1"/>
    <w:rsid w:val="007D4A54"/>
    <w:rsid w:val="00807130"/>
    <w:rsid w:val="00810EF5"/>
    <w:rsid w:val="00822C28"/>
    <w:rsid w:val="008404A0"/>
    <w:rsid w:val="0085009E"/>
    <w:rsid w:val="00892B68"/>
    <w:rsid w:val="00921D58"/>
    <w:rsid w:val="0092418A"/>
    <w:rsid w:val="00944DDD"/>
    <w:rsid w:val="00986CE8"/>
    <w:rsid w:val="00995E28"/>
    <w:rsid w:val="009A5771"/>
    <w:rsid w:val="009E3937"/>
    <w:rsid w:val="00A15F5E"/>
    <w:rsid w:val="00A213B6"/>
    <w:rsid w:val="00A678DE"/>
    <w:rsid w:val="00A85F6E"/>
    <w:rsid w:val="00A96D75"/>
    <w:rsid w:val="00AE4B4A"/>
    <w:rsid w:val="00B4523E"/>
    <w:rsid w:val="00B734AC"/>
    <w:rsid w:val="00B768C7"/>
    <w:rsid w:val="00B77153"/>
    <w:rsid w:val="00B82FB2"/>
    <w:rsid w:val="00B91743"/>
    <w:rsid w:val="00BA1535"/>
    <w:rsid w:val="00BB03F3"/>
    <w:rsid w:val="00BD4C40"/>
    <w:rsid w:val="00C06875"/>
    <w:rsid w:val="00C07E33"/>
    <w:rsid w:val="00C46B47"/>
    <w:rsid w:val="00CB61F2"/>
    <w:rsid w:val="00CB6CDA"/>
    <w:rsid w:val="00CC3076"/>
    <w:rsid w:val="00CF4344"/>
    <w:rsid w:val="00D24DFE"/>
    <w:rsid w:val="00D27A13"/>
    <w:rsid w:val="00D4008D"/>
    <w:rsid w:val="00D71F2E"/>
    <w:rsid w:val="00D75CF0"/>
    <w:rsid w:val="00DA23B9"/>
    <w:rsid w:val="00DB3467"/>
    <w:rsid w:val="00E325A5"/>
    <w:rsid w:val="00E966A5"/>
    <w:rsid w:val="00ED1914"/>
    <w:rsid w:val="00EE451C"/>
    <w:rsid w:val="00F35E7B"/>
    <w:rsid w:val="00F40F5D"/>
    <w:rsid w:val="00F47592"/>
    <w:rsid w:val="00F63722"/>
    <w:rsid w:val="00F67C69"/>
    <w:rsid w:val="00F813E8"/>
    <w:rsid w:val="00F830E2"/>
    <w:rsid w:val="00FC1AFA"/>
    <w:rsid w:val="00FC6130"/>
    <w:rsid w:val="00FE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14:docId w14:val="40CB25E7"/>
  <w15:docId w15:val="{18C7A3D6-20FD-4606-9D7F-990427E2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A1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i/>
      <w:iCs/>
    </w:rPr>
  </w:style>
  <w:style w:type="paragraph" w:styleId="Heading3">
    <w:name w:val="heading 3"/>
    <w:basedOn w:val="Normal"/>
    <w:next w:val="Normal"/>
    <w:qFormat/>
    <w:pPr>
      <w:keepNext/>
      <w:jc w:val="center"/>
      <w:outlineLvl w:val="2"/>
    </w:pPr>
    <w:rPr>
      <w:b/>
      <w:bCs/>
      <w:i/>
      <w:iCs/>
      <w:sz w:val="32"/>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52"/>
    </w:rPr>
  </w:style>
  <w:style w:type="paragraph" w:styleId="Subtitle">
    <w:name w:val="Subtitle"/>
    <w:basedOn w:val="Normal"/>
    <w:qFormat/>
    <w:pPr>
      <w:jc w:val="center"/>
    </w:pPr>
    <w:rPr>
      <w:b/>
      <w:bCs/>
      <w:sz w:val="44"/>
    </w:rPr>
  </w:style>
  <w:style w:type="paragraph" w:styleId="BodyText">
    <w:name w:val="Body Text"/>
    <w:basedOn w:val="Normal"/>
    <w:rPr>
      <w:bCs/>
      <w:iCs/>
    </w:rPr>
  </w:style>
  <w:style w:type="character" w:styleId="PageNumber">
    <w:name w:val="page number"/>
    <w:basedOn w:val="DefaultParagraphFont"/>
  </w:style>
  <w:style w:type="paragraph" w:customStyle="1" w:styleId="BodyText1">
    <w:name w:val="Body Text1"/>
    <w:basedOn w:val="Normal"/>
  </w:style>
  <w:style w:type="paragraph" w:styleId="ListParagraph">
    <w:name w:val="List Paragraph"/>
    <w:basedOn w:val="Normal"/>
    <w:uiPriority w:val="34"/>
    <w:qFormat/>
    <w:rsid w:val="0016136B"/>
    <w:pPr>
      <w:ind w:left="720"/>
      <w:contextualSpacing/>
    </w:pPr>
  </w:style>
  <w:style w:type="character" w:styleId="Hyperlink">
    <w:name w:val="Hyperlink"/>
    <w:basedOn w:val="DefaultParagraphFont"/>
    <w:unhideWhenUsed/>
    <w:rsid w:val="0016136B"/>
    <w:rPr>
      <w:color w:val="0563C1" w:themeColor="hyperlink"/>
      <w:u w:val="single"/>
    </w:rPr>
  </w:style>
  <w:style w:type="paragraph" w:customStyle="1" w:styleId="BasicParagraph">
    <w:name w:val="[Basic Paragraph]"/>
    <w:basedOn w:val="Normal"/>
    <w:uiPriority w:val="99"/>
    <w:rsid w:val="00427732"/>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CommentReference">
    <w:name w:val="annotation reference"/>
    <w:basedOn w:val="DefaultParagraphFont"/>
    <w:uiPriority w:val="99"/>
    <w:semiHidden/>
    <w:unhideWhenUsed/>
    <w:rsid w:val="00D27A13"/>
    <w:rPr>
      <w:sz w:val="16"/>
      <w:szCs w:val="16"/>
    </w:rPr>
  </w:style>
  <w:style w:type="paragraph" w:styleId="CommentText">
    <w:name w:val="annotation text"/>
    <w:basedOn w:val="Normal"/>
    <w:link w:val="CommentTextChar"/>
    <w:uiPriority w:val="99"/>
    <w:unhideWhenUsed/>
    <w:rsid w:val="00D27A13"/>
    <w:pPr>
      <w:spacing w:line="240" w:lineRule="auto"/>
    </w:pPr>
    <w:rPr>
      <w:sz w:val="20"/>
      <w:szCs w:val="20"/>
    </w:rPr>
  </w:style>
  <w:style w:type="character" w:customStyle="1" w:styleId="CommentTextChar">
    <w:name w:val="Comment Text Char"/>
    <w:basedOn w:val="DefaultParagraphFont"/>
    <w:link w:val="CommentText"/>
    <w:uiPriority w:val="99"/>
    <w:rsid w:val="00D27A13"/>
    <w:rPr>
      <w:rFonts w:asciiTheme="minorHAnsi" w:eastAsiaTheme="minorHAnsi" w:hAnsiTheme="minorHAnsi" w:cstheme="minorBidi"/>
    </w:rPr>
  </w:style>
  <w:style w:type="character" w:customStyle="1" w:styleId="HeaderChar">
    <w:name w:val="Header Char"/>
    <w:basedOn w:val="DefaultParagraphFont"/>
    <w:link w:val="Header"/>
    <w:uiPriority w:val="99"/>
    <w:rsid w:val="00D27A13"/>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semiHidden/>
    <w:unhideWhenUsed/>
    <w:rsid w:val="00064662"/>
    <w:rPr>
      <w:b/>
      <w:bCs/>
    </w:rPr>
  </w:style>
  <w:style w:type="character" w:customStyle="1" w:styleId="CommentSubjectChar">
    <w:name w:val="Comment Subject Char"/>
    <w:basedOn w:val="CommentTextChar"/>
    <w:link w:val="CommentSubject"/>
    <w:semiHidden/>
    <w:rsid w:val="00064662"/>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adley\Desktop\CHA%20Letterhead_St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6998AEF49B14C9162997A2C2FC277" ma:contentTypeVersion="14" ma:contentTypeDescription="Create a new document." ma:contentTypeScope="" ma:versionID="6796bb6523c2a6a235f4bdec35a19ce6">
  <xsd:schema xmlns:xsd="http://www.w3.org/2001/XMLSchema" xmlns:xs="http://www.w3.org/2001/XMLSchema" xmlns:p="http://schemas.microsoft.com/office/2006/metadata/properties" xmlns:ns2="eec1121c-cda9-4836-be94-b3e836ec7879" xmlns:ns3="74f1bc41-95bc-426d-befc-d768ff8af8f7" targetNamespace="http://schemas.microsoft.com/office/2006/metadata/properties" ma:root="true" ma:fieldsID="3411ec6f2ce0c752c34926fd4a9b21fb" ns2:_="" ns3:_="">
    <xsd:import namespace="eec1121c-cda9-4836-be94-b3e836ec7879"/>
    <xsd:import namespace="74f1bc41-95bc-426d-befc-d768ff8af8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121c-cda9-4836-be94-b3e836ec78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f1bc41-95bc-426d-befc-d768ff8af8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default="Draft" ma:format="Dropdown" ma:internalName="Status">
      <xsd:simpleType>
        <xsd:restriction base="dms:Choice">
          <xsd:enumeration value="Draft"/>
          <xsd:enumeration value="Final"/>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ec1121c-cda9-4836-be94-b3e836ec7879">
      <UserInfo>
        <DisplayName>Julie Reppas</DisplayName>
        <AccountId>232</AccountId>
        <AccountType/>
      </UserInfo>
    </SharedWithUsers>
    <Status xmlns="74f1bc41-95bc-426d-befc-d768ff8af8f7">Draft</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A86AB-1F35-4580-91C8-03DB165DEC85}">
  <ds:schemaRefs>
    <ds:schemaRef ds:uri="http://schemas.microsoft.com/office/2006/metadata/longProperties"/>
  </ds:schemaRefs>
</ds:datastoreItem>
</file>

<file path=customXml/itemProps2.xml><?xml version="1.0" encoding="utf-8"?>
<ds:datastoreItem xmlns:ds="http://schemas.openxmlformats.org/officeDocument/2006/customXml" ds:itemID="{D835D524-5B22-4F37-8875-03E116100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121c-cda9-4836-be94-b3e836ec7879"/>
    <ds:schemaRef ds:uri="74f1bc41-95bc-426d-befc-d768ff8af8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2B896-FD12-480C-84AF-A60C9D64C950}">
  <ds:schemaRefs>
    <ds:schemaRef ds:uri="http://schemas.microsoft.com/sharepoint/v3/contenttype/forms"/>
  </ds:schemaRefs>
</ds:datastoreItem>
</file>

<file path=customXml/itemProps4.xml><?xml version="1.0" encoding="utf-8"?>
<ds:datastoreItem xmlns:ds="http://schemas.openxmlformats.org/officeDocument/2006/customXml" ds:itemID="{8885CDFF-7894-4C9F-A0E0-42DECD4EBC82}">
  <ds:schemaRefs>
    <ds:schemaRef ds:uri="http://schemas.microsoft.com/office/2006/metadata/properties"/>
    <ds:schemaRef ds:uri="http://schemas.microsoft.com/office/infopath/2007/PartnerControls"/>
    <ds:schemaRef ds:uri="eec1121c-cda9-4836-be94-b3e836ec7879"/>
    <ds:schemaRef ds:uri="74f1bc41-95bc-426d-befc-d768ff8af8f7"/>
  </ds:schemaRefs>
</ds:datastoreItem>
</file>

<file path=customXml/itemProps5.xml><?xml version="1.0" encoding="utf-8"?>
<ds:datastoreItem xmlns:ds="http://schemas.openxmlformats.org/officeDocument/2006/customXml" ds:itemID="{DDB4B5C0-CCEB-4266-80E9-1EAC789C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 Letterhead_State_2021.dotx</Template>
  <TotalTime>0</TotalTime>
  <Pages>3</Pages>
  <Words>739</Words>
  <Characters>4380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CHA/CAHHS</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Bradley</dc:creator>
  <cp:lastModifiedBy>BJ Bartleson</cp:lastModifiedBy>
  <cp:revision>2</cp:revision>
  <cp:lastPrinted>2013-08-14T16:21:00Z</cp:lastPrinted>
  <dcterms:created xsi:type="dcterms:W3CDTF">2021-07-16T15:03:00Z</dcterms:created>
  <dcterms:modified xsi:type="dcterms:W3CDTF">2021-07-16T15:03:00Z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0x01010092C6998AEF49B14C9162997A2C2FC277</vt:lpwstr>
  </property>
</Properties>
</file>