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57B3" w14:textId="0394896A" w:rsidR="000A564C" w:rsidRPr="00302C5B" w:rsidRDefault="000A564C" w:rsidP="00CA60BB">
      <w:pPr>
        <w:jc w:val="center"/>
        <w:rPr>
          <w:rFonts w:asciiTheme="minorHAnsi" w:eastAsia="Calibri" w:hAnsiTheme="minorHAnsi" w:cstheme="minorHAnsi"/>
          <w:b/>
          <w:sz w:val="22"/>
          <w:szCs w:val="22"/>
          <w:highlight w:val="yellow"/>
        </w:rPr>
      </w:pPr>
      <w:r w:rsidRPr="00302C5B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 xml:space="preserve">Place on hospital letterhead and email a copy of your letter to Dawn Vicari, CHA legislative assistant, at </w:t>
      </w:r>
      <w:hyperlink r:id="rId11" w:history="1">
        <w:r w:rsidRPr="00302C5B">
          <w:rPr>
            <w:rStyle w:val="Hyperlink"/>
            <w:rFonts w:asciiTheme="minorHAnsi" w:eastAsia="Calibri" w:hAnsiTheme="minorHAnsi" w:cstheme="minorHAnsi"/>
            <w:b/>
            <w:bCs/>
            <w:sz w:val="22"/>
            <w:szCs w:val="22"/>
            <w:highlight w:val="yellow"/>
          </w:rPr>
          <w:t>dvicari@calhospital.org</w:t>
        </w:r>
      </w:hyperlink>
      <w:r w:rsidRPr="00302C5B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  <w:t>.</w:t>
      </w:r>
    </w:p>
    <w:p w14:paraId="4BCFC490" w14:textId="77777777" w:rsidR="0075597C" w:rsidRPr="00302C5B" w:rsidRDefault="0075597C" w:rsidP="007559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10666F" w14:textId="77777777" w:rsidR="00000C7C" w:rsidRDefault="00000C7C" w:rsidP="00302C5B">
      <w:pPr>
        <w:pStyle w:val="NoSpacing"/>
        <w:rPr>
          <w:rFonts w:cstheme="minorHAnsi"/>
        </w:rPr>
      </w:pPr>
    </w:p>
    <w:p w14:paraId="5C4BCDE0" w14:textId="552FE795" w:rsidR="00000C7C" w:rsidRDefault="00000C7C" w:rsidP="00302C5B">
      <w:pPr>
        <w:pStyle w:val="NoSpacing"/>
        <w:rPr>
          <w:rFonts w:cstheme="minorHAnsi"/>
        </w:rPr>
      </w:pPr>
      <w:r w:rsidRPr="00000C7C">
        <w:rPr>
          <w:rFonts w:cstheme="minorHAnsi"/>
          <w:highlight w:val="yellow"/>
        </w:rPr>
        <w:t>DATE</w:t>
      </w:r>
    </w:p>
    <w:p w14:paraId="415490C5" w14:textId="77777777" w:rsidR="00000C7C" w:rsidRDefault="00000C7C" w:rsidP="00302C5B">
      <w:pPr>
        <w:pStyle w:val="NoSpacing"/>
        <w:rPr>
          <w:rFonts w:cstheme="minorHAnsi"/>
        </w:rPr>
      </w:pPr>
    </w:p>
    <w:p w14:paraId="6F106647" w14:textId="77777777" w:rsidR="00000C7C" w:rsidRDefault="00000C7C" w:rsidP="00302C5B">
      <w:pPr>
        <w:pStyle w:val="NoSpacing"/>
        <w:rPr>
          <w:rFonts w:cstheme="minorHAnsi"/>
        </w:rPr>
      </w:pPr>
    </w:p>
    <w:p w14:paraId="0314BF64" w14:textId="6442BB18" w:rsidR="00302C5B" w:rsidRPr="00302C5B" w:rsidRDefault="00302C5B" w:rsidP="00302C5B">
      <w:pPr>
        <w:pStyle w:val="NoSpacing"/>
        <w:rPr>
          <w:rFonts w:cstheme="minorHAnsi"/>
        </w:rPr>
      </w:pPr>
      <w:r w:rsidRPr="00302C5B">
        <w:rPr>
          <w:rFonts w:cstheme="minorHAnsi"/>
        </w:rPr>
        <w:t>The Honorable Jim Wood, D.D.S., Chair</w:t>
      </w:r>
    </w:p>
    <w:p w14:paraId="4DFF0FA8" w14:textId="77777777" w:rsidR="00302C5B" w:rsidRPr="00302C5B" w:rsidRDefault="00302C5B" w:rsidP="00302C5B">
      <w:pPr>
        <w:pStyle w:val="NoSpacing"/>
        <w:rPr>
          <w:rFonts w:cstheme="minorHAnsi"/>
        </w:rPr>
      </w:pPr>
      <w:r w:rsidRPr="00302C5B">
        <w:rPr>
          <w:rFonts w:cstheme="minorHAnsi"/>
        </w:rPr>
        <w:t>Assembly Health Committee</w:t>
      </w:r>
    </w:p>
    <w:p w14:paraId="4D087FF1" w14:textId="77777777" w:rsidR="00302C5B" w:rsidRPr="00302C5B" w:rsidRDefault="00302C5B" w:rsidP="00302C5B">
      <w:pPr>
        <w:pStyle w:val="NoSpacing"/>
        <w:rPr>
          <w:rFonts w:cstheme="minorHAnsi"/>
        </w:rPr>
      </w:pPr>
      <w:r w:rsidRPr="00302C5B">
        <w:rPr>
          <w:rFonts w:cstheme="minorHAnsi"/>
        </w:rPr>
        <w:t>State Capitol, Room 6005</w:t>
      </w:r>
    </w:p>
    <w:p w14:paraId="5A211E36" w14:textId="77777777" w:rsidR="00302C5B" w:rsidRPr="00302C5B" w:rsidRDefault="00302C5B" w:rsidP="00302C5B">
      <w:pPr>
        <w:pStyle w:val="NoSpacing"/>
        <w:rPr>
          <w:rFonts w:cstheme="minorHAnsi"/>
        </w:rPr>
      </w:pPr>
      <w:r w:rsidRPr="00302C5B">
        <w:rPr>
          <w:rFonts w:cstheme="minorHAnsi"/>
        </w:rPr>
        <w:t>Sacramento, CA  95608</w:t>
      </w:r>
    </w:p>
    <w:p w14:paraId="4390D968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</w:p>
    <w:p w14:paraId="26F131D1" w14:textId="77777777" w:rsidR="00302C5B" w:rsidRPr="00302C5B" w:rsidRDefault="00302C5B" w:rsidP="00302C5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02C5B">
        <w:rPr>
          <w:rFonts w:asciiTheme="minorHAnsi" w:hAnsiTheme="minorHAnsi" w:cstheme="minorHAnsi"/>
          <w:b/>
          <w:sz w:val="22"/>
          <w:szCs w:val="22"/>
        </w:rPr>
        <w:t>SUBJECT:</w:t>
      </w:r>
      <w:r w:rsidRPr="00302C5B">
        <w:rPr>
          <w:rFonts w:asciiTheme="minorHAnsi" w:hAnsiTheme="minorHAnsi" w:cstheme="minorHAnsi"/>
          <w:b/>
          <w:sz w:val="22"/>
          <w:szCs w:val="22"/>
        </w:rPr>
        <w:tab/>
        <w:t>SB 758 (Portantino)</w:t>
      </w:r>
      <w:r w:rsidRPr="00302C5B" w:rsidDel="001B50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2C5B">
        <w:rPr>
          <w:rFonts w:asciiTheme="minorHAnsi" w:hAnsiTheme="minorHAnsi" w:cstheme="minorHAnsi"/>
          <w:b/>
          <w:sz w:val="22"/>
          <w:szCs w:val="22"/>
        </w:rPr>
        <w:t>– SUPPORT</w:t>
      </w:r>
    </w:p>
    <w:p w14:paraId="0E10D9E6" w14:textId="77777777" w:rsidR="00302C5B" w:rsidRPr="00302C5B" w:rsidRDefault="00302C5B" w:rsidP="00302C5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783FE28" w14:textId="5AE0B88B" w:rsidR="00302C5B" w:rsidRPr="00302C5B" w:rsidRDefault="00302C5B" w:rsidP="00302C5B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bCs/>
          <w:color w:val="000000"/>
          <w:sz w:val="22"/>
          <w:szCs w:val="22"/>
        </w:rPr>
      </w:pPr>
      <w:r w:rsidRPr="00302C5B">
        <w:rPr>
          <w:rFonts w:asciiTheme="minorHAnsi" w:hAnsiTheme="minorHAnsi" w:cstheme="minorHAnsi"/>
          <w:bCs/>
          <w:sz w:val="22"/>
          <w:szCs w:val="22"/>
        </w:rPr>
        <w:t>Dear Dr. Wood</w:t>
      </w:r>
      <w:r w:rsidR="00000C7C">
        <w:rPr>
          <w:rFonts w:asciiTheme="minorHAnsi" w:hAnsiTheme="minorHAnsi" w:cstheme="minorHAnsi"/>
          <w:bCs/>
          <w:sz w:val="22"/>
          <w:szCs w:val="22"/>
        </w:rPr>
        <w:t>:</w:t>
      </w:r>
      <w:r w:rsidRPr="00302C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DBA27CF" w14:textId="77777777" w:rsidR="00302C5B" w:rsidRPr="00302C5B" w:rsidRDefault="00302C5B" w:rsidP="00302C5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pacing w:val="5"/>
          <w:kern w:val="28"/>
          <w:sz w:val="22"/>
          <w:szCs w:val="22"/>
        </w:rPr>
      </w:pPr>
    </w:p>
    <w:p w14:paraId="499623E3" w14:textId="42B71BE1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  <w:highlight w:val="yellow"/>
        </w:rPr>
        <w:t>(Insert hospital name)</w:t>
      </w:r>
      <w:r w:rsidRPr="00302C5B">
        <w:rPr>
          <w:rFonts w:asciiTheme="minorHAnsi" w:hAnsiTheme="minorHAnsi" w:cstheme="minorHAnsi"/>
          <w:sz w:val="22"/>
          <w:szCs w:val="22"/>
        </w:rPr>
        <w:t xml:space="preserve"> has continued to meet the challenges of th</w:t>
      </w:r>
      <w:r w:rsidR="00000C7C">
        <w:rPr>
          <w:rFonts w:asciiTheme="minorHAnsi" w:hAnsiTheme="minorHAnsi" w:cstheme="minorHAnsi"/>
          <w:sz w:val="22"/>
          <w:szCs w:val="22"/>
        </w:rPr>
        <w:t>e COVID-19</w:t>
      </w:r>
      <w:r w:rsidRPr="00302C5B">
        <w:rPr>
          <w:rFonts w:asciiTheme="minorHAnsi" w:hAnsiTheme="minorHAnsi" w:cstheme="minorHAnsi"/>
          <w:sz w:val="22"/>
          <w:szCs w:val="22"/>
        </w:rPr>
        <w:t xml:space="preserve"> pandemic. When COVID-19 hit, our hospital responded quickly, </w:t>
      </w:r>
      <w:r w:rsidR="00382BD9">
        <w:rPr>
          <w:rFonts w:asciiTheme="minorHAnsi" w:hAnsiTheme="minorHAnsi" w:cstheme="minorHAnsi"/>
          <w:sz w:val="22"/>
          <w:szCs w:val="22"/>
        </w:rPr>
        <w:t>converting</w:t>
      </w:r>
      <w:r w:rsidRPr="00302C5B">
        <w:rPr>
          <w:rFonts w:asciiTheme="minorHAnsi" w:hAnsiTheme="minorHAnsi" w:cstheme="minorHAnsi"/>
          <w:sz w:val="22"/>
          <w:szCs w:val="22"/>
        </w:rPr>
        <w:t xml:space="preserve"> physical space, suspend</w:t>
      </w:r>
      <w:r w:rsidR="00382BD9">
        <w:rPr>
          <w:rFonts w:asciiTheme="minorHAnsi" w:hAnsiTheme="minorHAnsi" w:cstheme="minorHAnsi"/>
          <w:sz w:val="22"/>
          <w:szCs w:val="22"/>
        </w:rPr>
        <w:t>ing</w:t>
      </w:r>
      <w:r w:rsidRPr="00302C5B">
        <w:rPr>
          <w:rFonts w:asciiTheme="minorHAnsi" w:hAnsiTheme="minorHAnsi" w:cstheme="minorHAnsi"/>
          <w:sz w:val="22"/>
          <w:szCs w:val="22"/>
        </w:rPr>
        <w:t xml:space="preserve"> many procedures and services, purchas</w:t>
      </w:r>
      <w:r w:rsidR="00382BD9">
        <w:rPr>
          <w:rFonts w:asciiTheme="minorHAnsi" w:hAnsiTheme="minorHAnsi" w:cstheme="minorHAnsi"/>
          <w:sz w:val="22"/>
          <w:szCs w:val="22"/>
        </w:rPr>
        <w:t>ing</w:t>
      </w:r>
      <w:r w:rsidRPr="00302C5B">
        <w:rPr>
          <w:rFonts w:asciiTheme="minorHAnsi" w:hAnsiTheme="minorHAnsi" w:cstheme="minorHAnsi"/>
          <w:sz w:val="22"/>
          <w:szCs w:val="22"/>
        </w:rPr>
        <w:t xml:space="preserve"> personal protective equipment for employees and staff, hir</w:t>
      </w:r>
      <w:r w:rsidR="00DC53E4">
        <w:rPr>
          <w:rFonts w:asciiTheme="minorHAnsi" w:hAnsiTheme="minorHAnsi" w:cstheme="minorHAnsi"/>
          <w:sz w:val="22"/>
          <w:szCs w:val="22"/>
        </w:rPr>
        <w:t>ing</w:t>
      </w:r>
      <w:r w:rsidRPr="00302C5B">
        <w:rPr>
          <w:rFonts w:asciiTheme="minorHAnsi" w:hAnsiTheme="minorHAnsi" w:cstheme="minorHAnsi"/>
          <w:sz w:val="22"/>
          <w:szCs w:val="22"/>
        </w:rPr>
        <w:t xml:space="preserve"> additional staff, and more.   </w:t>
      </w:r>
    </w:p>
    <w:p w14:paraId="1FEBA6B1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</w:p>
    <w:p w14:paraId="2E668501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 xml:space="preserve">This response was unprecedented, and it has come at a high cost for all hospitals at the front lines of the COVID-19 fight. Kaufman Hall, </w:t>
      </w:r>
      <w:r w:rsidRPr="00302C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national, independent consulting firm with extensive health care finance expertise, </w:t>
      </w:r>
      <w:hyperlink r:id="rId12" w:history="1">
        <w:r w:rsidRPr="00302C5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has found</w:t>
        </w:r>
      </w:hyperlink>
      <w:r w:rsidRPr="00302C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that the COVID-19 pandemic is likely to lead to long-term changes to financial stability and care delivery in California hospitals. For our hospital this has meant incredible and continued revenue loss, while managing increased expenses. </w:t>
      </w:r>
    </w:p>
    <w:p w14:paraId="2E0953C0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</w:p>
    <w:p w14:paraId="36DEC52B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 xml:space="preserve">However, the next seismic mandate looms. Our hospital has met the first requirement to withstand a major earthquake — the highest level of safety possible. Now that our building is safe for patients and employees, we must focus on the 2030 requirement to be </w:t>
      </w:r>
      <w:r w:rsidRPr="00302C5B">
        <w:rPr>
          <w:rFonts w:asciiTheme="minorHAnsi" w:hAnsiTheme="minorHAnsi" w:cstheme="minorHAnsi"/>
          <w:i/>
          <w:iCs/>
          <w:sz w:val="22"/>
          <w:szCs w:val="22"/>
        </w:rPr>
        <w:t>operational</w:t>
      </w:r>
      <w:r w:rsidRPr="00302C5B">
        <w:rPr>
          <w:rFonts w:asciiTheme="minorHAnsi" w:hAnsiTheme="minorHAnsi" w:cstheme="minorHAnsi"/>
          <w:sz w:val="22"/>
          <w:szCs w:val="22"/>
        </w:rPr>
        <w:t xml:space="preserve"> after a major earthquake. Understanding the challenge our hospital is currently facing, </w:t>
      </w:r>
      <w:r w:rsidRPr="00302C5B">
        <w:rPr>
          <w:rFonts w:asciiTheme="minorHAnsi" w:hAnsiTheme="minorHAnsi" w:cstheme="minorHAnsi"/>
          <w:b/>
          <w:bCs/>
          <w:sz w:val="22"/>
          <w:szCs w:val="22"/>
        </w:rPr>
        <w:t>our hospital supports</w:t>
      </w:r>
      <w:r w:rsidRPr="00302C5B">
        <w:rPr>
          <w:rFonts w:asciiTheme="minorHAnsi" w:hAnsiTheme="minorHAnsi" w:cstheme="minorHAnsi"/>
          <w:sz w:val="22"/>
          <w:szCs w:val="22"/>
        </w:rPr>
        <w:t xml:space="preserve"> </w:t>
      </w:r>
      <w:r w:rsidRPr="00302C5B">
        <w:rPr>
          <w:rFonts w:asciiTheme="minorHAnsi" w:hAnsiTheme="minorHAnsi" w:cstheme="minorHAnsi"/>
          <w:b/>
          <w:sz w:val="22"/>
          <w:szCs w:val="22"/>
        </w:rPr>
        <w:t xml:space="preserve">SB 758, which would extend the deadline for the 2030 mandate to 2037 and create a stakeholder advisory committee to examine how California’s health care delivery system prepares and responds to disasters of all kinds. </w:t>
      </w:r>
    </w:p>
    <w:p w14:paraId="1B3EC2FD" w14:textId="77777777" w:rsidR="00302C5B" w:rsidRPr="00302C5B" w:rsidRDefault="00302C5B" w:rsidP="00302C5B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51CB1882" w14:textId="0D3A3ABF" w:rsidR="00302C5B" w:rsidRPr="00302C5B" w:rsidRDefault="00302C5B" w:rsidP="00302C5B">
      <w:pPr>
        <w:ind w:right="-360"/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 xml:space="preserve">A recent </w:t>
      </w:r>
      <w:hyperlink r:id="rId13" w:history="1">
        <w:r w:rsidRPr="00302C5B">
          <w:rPr>
            <w:rStyle w:val="Hyperlink"/>
            <w:rFonts w:asciiTheme="minorHAnsi" w:hAnsiTheme="minorHAnsi" w:cstheme="minorHAnsi"/>
            <w:sz w:val="22"/>
            <w:szCs w:val="22"/>
          </w:rPr>
          <w:t>RAND Corporation report</w:t>
        </w:r>
      </w:hyperlink>
      <w:r w:rsidRPr="00302C5B">
        <w:rPr>
          <w:rFonts w:asciiTheme="minorHAnsi" w:hAnsiTheme="minorHAnsi" w:cstheme="minorHAnsi"/>
          <w:sz w:val="22"/>
          <w:szCs w:val="22"/>
        </w:rPr>
        <w:t xml:space="preserve"> analyzed hospital seismic mandate costs to meet the 2030 seismic requirement. </w:t>
      </w:r>
      <w:r w:rsidRPr="00302C5B">
        <w:rPr>
          <w:rFonts w:asciiTheme="minorHAnsi" w:hAnsiTheme="minorHAnsi" w:cstheme="minorHAnsi"/>
          <w:bCs/>
          <w:sz w:val="22"/>
          <w:szCs w:val="22"/>
        </w:rPr>
        <w:t>The price tag is estimated to be more than $100 billion but may even be higher after factoring in financing and other costs</w:t>
      </w:r>
      <w:r w:rsidRPr="00302C5B">
        <w:rPr>
          <w:rFonts w:asciiTheme="minorHAnsi" w:hAnsiTheme="minorHAnsi" w:cstheme="minorHAnsi"/>
          <w:sz w:val="22"/>
          <w:szCs w:val="22"/>
        </w:rPr>
        <w:t>. As the study notes, hospitals bear the entire financial burden for the required upgrades. For our hospital, the costs are significant (</w:t>
      </w:r>
      <w:r w:rsidRPr="00302C5B">
        <w:rPr>
          <w:rFonts w:asciiTheme="minorHAnsi" w:hAnsiTheme="minorHAnsi" w:cstheme="minorHAnsi"/>
          <w:sz w:val="22"/>
          <w:szCs w:val="22"/>
          <w:highlight w:val="yellow"/>
        </w:rPr>
        <w:t>please</w:t>
      </w:r>
      <w:r w:rsidRPr="00302C5B">
        <w:rPr>
          <w:rFonts w:asciiTheme="minorHAnsi" w:hAnsiTheme="minorHAnsi" w:cstheme="minorHAnsi"/>
          <w:sz w:val="22"/>
          <w:szCs w:val="22"/>
        </w:rPr>
        <w:t xml:space="preserve"> </w:t>
      </w:r>
      <w:r w:rsidRPr="00302C5B">
        <w:rPr>
          <w:rFonts w:asciiTheme="minorHAnsi" w:hAnsiTheme="minorHAnsi" w:cstheme="minorHAnsi"/>
          <w:sz w:val="22"/>
          <w:szCs w:val="22"/>
          <w:highlight w:val="yellow"/>
        </w:rPr>
        <w:t>include estimated costs if available)</w:t>
      </w:r>
      <w:r w:rsidRPr="00302C5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77820B2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</w:p>
    <w:p w14:paraId="568B34F7" w14:textId="4BEE289E" w:rsidR="00302C5B" w:rsidRPr="00302C5B" w:rsidRDefault="00302C5B" w:rsidP="00302C5B">
      <w:pPr>
        <w:ind w:right="-180"/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 xml:space="preserve">Planning for massive infrastructure projects of this size must start now. </w:t>
      </w:r>
      <w:r w:rsidR="004806FE">
        <w:rPr>
          <w:rFonts w:asciiTheme="minorHAnsi" w:hAnsiTheme="minorHAnsi" w:cstheme="minorHAnsi"/>
          <w:sz w:val="22"/>
          <w:szCs w:val="22"/>
        </w:rPr>
        <w:t>At this</w:t>
      </w:r>
      <w:r w:rsidRPr="00302C5B">
        <w:rPr>
          <w:rFonts w:asciiTheme="minorHAnsi" w:hAnsiTheme="minorHAnsi" w:cstheme="minorHAnsi"/>
          <w:sz w:val="22"/>
          <w:szCs w:val="22"/>
        </w:rPr>
        <w:t xml:space="preserve"> time when hospitals’ budgets have been crippled by the pandemic</w:t>
      </w:r>
      <w:r w:rsidR="004806FE">
        <w:rPr>
          <w:rFonts w:asciiTheme="minorHAnsi" w:hAnsiTheme="minorHAnsi" w:cstheme="minorHAnsi"/>
          <w:sz w:val="22"/>
          <w:szCs w:val="22"/>
        </w:rPr>
        <w:t>, an</w:t>
      </w:r>
      <w:r w:rsidRPr="00302C5B">
        <w:rPr>
          <w:rFonts w:asciiTheme="minorHAnsi" w:hAnsiTheme="minorHAnsi" w:cstheme="minorHAnsi"/>
          <w:sz w:val="22"/>
          <w:szCs w:val="22"/>
        </w:rPr>
        <w:t xml:space="preserve"> extension of the mandate is critical given the extensive work and expense that need to be considered. More importantly, we strongly support a state</w:t>
      </w:r>
      <w:r w:rsidR="00611D00">
        <w:rPr>
          <w:rFonts w:asciiTheme="minorHAnsi" w:hAnsiTheme="minorHAnsi" w:cstheme="minorHAnsi"/>
          <w:sz w:val="22"/>
          <w:szCs w:val="22"/>
        </w:rPr>
        <w:t>-</w:t>
      </w:r>
      <w:r w:rsidRPr="00302C5B">
        <w:rPr>
          <w:rFonts w:asciiTheme="minorHAnsi" w:hAnsiTheme="minorHAnsi" w:cstheme="minorHAnsi"/>
          <w:sz w:val="22"/>
          <w:szCs w:val="22"/>
        </w:rPr>
        <w:t xml:space="preserve">led advisory committee to re-examine the state’s response to all disasters, including a seismic event. We have learned many incredible lessons as the state is facing the current pandemic, as well as from other disasters over the past few years. </w:t>
      </w:r>
    </w:p>
    <w:p w14:paraId="357BBB94" w14:textId="77777777" w:rsidR="00302C5B" w:rsidRPr="00302C5B" w:rsidRDefault="00302C5B" w:rsidP="00302C5B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66D7DA0E" w14:textId="657A10EA" w:rsidR="00302C5B" w:rsidRPr="00302C5B" w:rsidRDefault="00302C5B" w:rsidP="00302C5B">
      <w:pPr>
        <w:ind w:right="-180"/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>(</w:t>
      </w:r>
      <w:r w:rsidRPr="00302C5B">
        <w:rPr>
          <w:rFonts w:asciiTheme="minorHAnsi" w:hAnsiTheme="minorHAnsi" w:cstheme="minorHAnsi"/>
          <w:sz w:val="22"/>
          <w:szCs w:val="22"/>
          <w:highlight w:val="yellow"/>
        </w:rPr>
        <w:t>Insert hospital name</w:t>
      </w:r>
      <w:r w:rsidRPr="00302C5B">
        <w:rPr>
          <w:rFonts w:asciiTheme="minorHAnsi" w:hAnsiTheme="minorHAnsi" w:cstheme="minorHAnsi"/>
          <w:sz w:val="22"/>
          <w:szCs w:val="22"/>
        </w:rPr>
        <w:t xml:space="preserve">) requests your support </w:t>
      </w:r>
      <w:r w:rsidR="007D02EA">
        <w:rPr>
          <w:rFonts w:asciiTheme="minorHAnsi" w:hAnsiTheme="minorHAnsi" w:cstheme="minorHAnsi"/>
          <w:sz w:val="22"/>
          <w:szCs w:val="22"/>
        </w:rPr>
        <w:t>for</w:t>
      </w:r>
      <w:r w:rsidRPr="00302C5B">
        <w:rPr>
          <w:rFonts w:asciiTheme="minorHAnsi" w:hAnsiTheme="minorHAnsi" w:cstheme="minorHAnsi"/>
          <w:sz w:val="22"/>
          <w:szCs w:val="22"/>
        </w:rPr>
        <w:t xml:space="preserve"> SB 758 in Assembly Health Committee. Please feel free to contact me if you have any questions or would like to discuss this request. Thank you.</w:t>
      </w:r>
    </w:p>
    <w:p w14:paraId="01D53B42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</w:p>
    <w:p w14:paraId="6C4F033A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>Sincerely,</w:t>
      </w:r>
    </w:p>
    <w:p w14:paraId="2E3BC761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</w:p>
    <w:p w14:paraId="465C8FA8" w14:textId="77777777" w:rsidR="00302C5B" w:rsidRPr="00302C5B" w:rsidRDefault="00302C5B" w:rsidP="00302C5B">
      <w:pPr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>[</w:t>
      </w:r>
      <w:r w:rsidRPr="00302C5B">
        <w:rPr>
          <w:rFonts w:asciiTheme="minorHAnsi" w:hAnsiTheme="minorHAnsi" w:cstheme="minorHAnsi"/>
          <w:sz w:val="22"/>
          <w:szCs w:val="22"/>
          <w:highlight w:val="yellow"/>
        </w:rPr>
        <w:t>Your name and contact information</w:t>
      </w:r>
      <w:r w:rsidRPr="00302C5B">
        <w:rPr>
          <w:rFonts w:asciiTheme="minorHAnsi" w:hAnsiTheme="minorHAnsi" w:cstheme="minorHAnsi"/>
          <w:sz w:val="22"/>
          <w:szCs w:val="22"/>
        </w:rPr>
        <w:t>]</w:t>
      </w:r>
    </w:p>
    <w:p w14:paraId="67FFFB71" w14:textId="77777777" w:rsidR="00302C5B" w:rsidRPr="00302C5B" w:rsidRDefault="00302C5B" w:rsidP="00302C5B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625E0EF7" w14:textId="77777777" w:rsidR="00302C5B" w:rsidRPr="00302C5B" w:rsidRDefault="00302C5B" w:rsidP="00302C5B">
      <w:pPr>
        <w:ind w:right="-180"/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lastRenderedPageBreak/>
        <w:t xml:space="preserve">Cc: </w:t>
      </w:r>
      <w:r w:rsidRPr="00302C5B">
        <w:rPr>
          <w:rFonts w:asciiTheme="minorHAnsi" w:hAnsiTheme="minorHAnsi" w:cstheme="minorHAnsi"/>
          <w:sz w:val="22"/>
          <w:szCs w:val="22"/>
        </w:rPr>
        <w:tab/>
        <w:t>Senator Anthony Portantino</w:t>
      </w:r>
    </w:p>
    <w:p w14:paraId="4D710FAB" w14:textId="77777777" w:rsidR="00302C5B" w:rsidRPr="00302C5B" w:rsidRDefault="00302C5B" w:rsidP="00302C5B">
      <w:pPr>
        <w:ind w:right="-180"/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ab/>
        <w:t xml:space="preserve">Members, Assembly Health Committee </w:t>
      </w:r>
    </w:p>
    <w:p w14:paraId="0572E938" w14:textId="77777777" w:rsidR="00302C5B" w:rsidRPr="00302C5B" w:rsidRDefault="00302C5B" w:rsidP="00302C5B">
      <w:pPr>
        <w:ind w:right="-180"/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ab/>
        <w:t>Lara Flynn, Consultant, Assembly Health Committee</w:t>
      </w:r>
    </w:p>
    <w:p w14:paraId="2469B182" w14:textId="77777777" w:rsidR="00302C5B" w:rsidRPr="00302C5B" w:rsidRDefault="00302C5B" w:rsidP="00302C5B">
      <w:pPr>
        <w:ind w:right="-180"/>
        <w:rPr>
          <w:rFonts w:asciiTheme="minorHAnsi" w:hAnsiTheme="minorHAnsi" w:cstheme="minorHAnsi"/>
          <w:sz w:val="22"/>
          <w:szCs w:val="22"/>
        </w:rPr>
      </w:pPr>
      <w:r w:rsidRPr="00302C5B">
        <w:rPr>
          <w:rFonts w:asciiTheme="minorHAnsi" w:hAnsiTheme="minorHAnsi" w:cstheme="minorHAnsi"/>
          <w:sz w:val="22"/>
          <w:szCs w:val="22"/>
        </w:rPr>
        <w:tab/>
        <w:t xml:space="preserve">Joe </w:t>
      </w:r>
      <w:proofErr w:type="spellStart"/>
      <w:r w:rsidRPr="00302C5B">
        <w:rPr>
          <w:rFonts w:asciiTheme="minorHAnsi" w:hAnsiTheme="minorHAnsi" w:cstheme="minorHAnsi"/>
          <w:sz w:val="22"/>
          <w:szCs w:val="22"/>
        </w:rPr>
        <w:t>Shinstock</w:t>
      </w:r>
      <w:proofErr w:type="spellEnd"/>
      <w:r w:rsidRPr="00302C5B">
        <w:rPr>
          <w:rFonts w:asciiTheme="minorHAnsi" w:hAnsiTheme="minorHAnsi" w:cstheme="minorHAnsi"/>
          <w:sz w:val="22"/>
          <w:szCs w:val="22"/>
        </w:rPr>
        <w:t>, Consultant, Republican Caucus</w:t>
      </w:r>
    </w:p>
    <w:p w14:paraId="21E2A7B0" w14:textId="77777777" w:rsidR="00CA60BB" w:rsidRPr="00302C5B" w:rsidRDefault="00CA60BB" w:rsidP="0075597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A60BB" w:rsidRPr="00302C5B" w:rsidSect="00A81021">
      <w:headerReference w:type="even" r:id="rId14"/>
      <w:headerReference w:type="first" r:id="rId15"/>
      <w:footerReference w:type="first" r:id="rId16"/>
      <w:pgSz w:w="12240" w:h="15840" w:code="1"/>
      <w:pgMar w:top="720" w:right="1152" w:bottom="720" w:left="1152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1E7AE" w14:textId="77777777" w:rsidR="00CB11B5" w:rsidRDefault="00CB11B5">
      <w:r>
        <w:separator/>
      </w:r>
    </w:p>
  </w:endnote>
  <w:endnote w:type="continuationSeparator" w:id="0">
    <w:p w14:paraId="3A612067" w14:textId="77777777" w:rsidR="00CB11B5" w:rsidRDefault="00CB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7E23" w14:textId="5C06AE2A" w:rsidR="00BB03F3" w:rsidRDefault="00BB03F3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CD098" w14:textId="77777777" w:rsidR="00CB11B5" w:rsidRDefault="00CB11B5">
      <w:r>
        <w:separator/>
      </w:r>
    </w:p>
  </w:footnote>
  <w:footnote w:type="continuationSeparator" w:id="0">
    <w:p w14:paraId="329A58A3" w14:textId="77777777" w:rsidR="00CB11B5" w:rsidRDefault="00CB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7E17" w14:textId="77777777" w:rsidR="00BB03F3" w:rsidRDefault="00BB03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17E18" w14:textId="77777777" w:rsidR="00BB03F3" w:rsidRDefault="00BB03F3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4A917E19" w14:textId="77777777" w:rsidR="00BB03F3" w:rsidRDefault="00BB03F3">
    <w:pPr>
      <w:pStyle w:val="Header"/>
    </w:pPr>
    <w:r>
      <w:t>Date</w:t>
    </w:r>
  </w:p>
  <w:p w14:paraId="4A917E1A" w14:textId="77777777" w:rsidR="00BB03F3" w:rsidRDefault="00DA07C0">
    <w:pPr>
      <w:pStyle w:val="Header"/>
    </w:pPr>
    <w:r>
      <w:pict w14:anchorId="4A917E24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7E22" w14:textId="1DA19CBD" w:rsidR="00BB03F3" w:rsidRPr="002334E2" w:rsidRDefault="00BB03F3" w:rsidP="00FE060E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B22CE"/>
    <w:multiLevelType w:val="hybridMultilevel"/>
    <w:tmpl w:val="CD92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7FF9"/>
    <w:multiLevelType w:val="hybridMultilevel"/>
    <w:tmpl w:val="9948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4525"/>
    <w:multiLevelType w:val="hybridMultilevel"/>
    <w:tmpl w:val="BFF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69EB"/>
    <w:multiLevelType w:val="multilevel"/>
    <w:tmpl w:val="42B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00C7C"/>
    <w:rsid w:val="00011DC6"/>
    <w:rsid w:val="00025EA3"/>
    <w:rsid w:val="000523EC"/>
    <w:rsid w:val="000535E8"/>
    <w:rsid w:val="00066035"/>
    <w:rsid w:val="00081EE8"/>
    <w:rsid w:val="00082DBE"/>
    <w:rsid w:val="00083D02"/>
    <w:rsid w:val="000A442B"/>
    <w:rsid w:val="000A539A"/>
    <w:rsid w:val="000A564C"/>
    <w:rsid w:val="000E06AA"/>
    <w:rsid w:val="000E0866"/>
    <w:rsid w:val="000E7C0B"/>
    <w:rsid w:val="00100A95"/>
    <w:rsid w:val="00116E21"/>
    <w:rsid w:val="00154576"/>
    <w:rsid w:val="00177677"/>
    <w:rsid w:val="0017775A"/>
    <w:rsid w:val="001824CD"/>
    <w:rsid w:val="002334E2"/>
    <w:rsid w:val="00295E4D"/>
    <w:rsid w:val="002D2468"/>
    <w:rsid w:val="00302C5B"/>
    <w:rsid w:val="00316564"/>
    <w:rsid w:val="003405C8"/>
    <w:rsid w:val="00382BD9"/>
    <w:rsid w:val="003858B8"/>
    <w:rsid w:val="003A1ACB"/>
    <w:rsid w:val="003C1E75"/>
    <w:rsid w:val="003D4F91"/>
    <w:rsid w:val="003E1B98"/>
    <w:rsid w:val="004028C4"/>
    <w:rsid w:val="00415E47"/>
    <w:rsid w:val="00466F1F"/>
    <w:rsid w:val="00475C1B"/>
    <w:rsid w:val="004806FE"/>
    <w:rsid w:val="00490EEC"/>
    <w:rsid w:val="004F57D7"/>
    <w:rsid w:val="005413FC"/>
    <w:rsid w:val="0055558E"/>
    <w:rsid w:val="00561FED"/>
    <w:rsid w:val="005C4211"/>
    <w:rsid w:val="00603D2E"/>
    <w:rsid w:val="00611D00"/>
    <w:rsid w:val="00612C0D"/>
    <w:rsid w:val="00625DDD"/>
    <w:rsid w:val="006312E5"/>
    <w:rsid w:val="00650D83"/>
    <w:rsid w:val="006966D0"/>
    <w:rsid w:val="006B7966"/>
    <w:rsid w:val="006C067D"/>
    <w:rsid w:val="006E36AD"/>
    <w:rsid w:val="007044DE"/>
    <w:rsid w:val="007442E1"/>
    <w:rsid w:val="0075597C"/>
    <w:rsid w:val="007B32C2"/>
    <w:rsid w:val="007B5BD5"/>
    <w:rsid w:val="007B5DF1"/>
    <w:rsid w:val="007D02EA"/>
    <w:rsid w:val="007E5286"/>
    <w:rsid w:val="00800614"/>
    <w:rsid w:val="00804D1F"/>
    <w:rsid w:val="008224C3"/>
    <w:rsid w:val="00822C28"/>
    <w:rsid w:val="00824528"/>
    <w:rsid w:val="00831711"/>
    <w:rsid w:val="00834D65"/>
    <w:rsid w:val="008404A0"/>
    <w:rsid w:val="008575F0"/>
    <w:rsid w:val="008B4B8C"/>
    <w:rsid w:val="008F65A6"/>
    <w:rsid w:val="009246A3"/>
    <w:rsid w:val="009517FA"/>
    <w:rsid w:val="009F01B3"/>
    <w:rsid w:val="009F3013"/>
    <w:rsid w:val="00A213B6"/>
    <w:rsid w:val="00A270C4"/>
    <w:rsid w:val="00A52163"/>
    <w:rsid w:val="00A81021"/>
    <w:rsid w:val="00AA6F44"/>
    <w:rsid w:val="00AD769A"/>
    <w:rsid w:val="00AF013A"/>
    <w:rsid w:val="00AF722A"/>
    <w:rsid w:val="00B4523E"/>
    <w:rsid w:val="00B734AC"/>
    <w:rsid w:val="00B7559C"/>
    <w:rsid w:val="00B77153"/>
    <w:rsid w:val="00B82FB2"/>
    <w:rsid w:val="00B91743"/>
    <w:rsid w:val="00B96370"/>
    <w:rsid w:val="00BB03F3"/>
    <w:rsid w:val="00BE59D1"/>
    <w:rsid w:val="00C06875"/>
    <w:rsid w:val="00C401D1"/>
    <w:rsid w:val="00C83AEA"/>
    <w:rsid w:val="00CA3F9E"/>
    <w:rsid w:val="00CA60BB"/>
    <w:rsid w:val="00CB11B5"/>
    <w:rsid w:val="00CC0694"/>
    <w:rsid w:val="00D00E39"/>
    <w:rsid w:val="00D40F35"/>
    <w:rsid w:val="00D75CF0"/>
    <w:rsid w:val="00DA07C0"/>
    <w:rsid w:val="00DA23B9"/>
    <w:rsid w:val="00DA43A2"/>
    <w:rsid w:val="00DB015D"/>
    <w:rsid w:val="00DB3467"/>
    <w:rsid w:val="00DC4C36"/>
    <w:rsid w:val="00DC53E4"/>
    <w:rsid w:val="00DF0887"/>
    <w:rsid w:val="00E01F60"/>
    <w:rsid w:val="00E537F9"/>
    <w:rsid w:val="00E54E84"/>
    <w:rsid w:val="00EA7F9B"/>
    <w:rsid w:val="00ED57F9"/>
    <w:rsid w:val="00F35E7B"/>
    <w:rsid w:val="00F40F5D"/>
    <w:rsid w:val="00F55C89"/>
    <w:rsid w:val="00F666A2"/>
    <w:rsid w:val="00F75173"/>
    <w:rsid w:val="00F813E8"/>
    <w:rsid w:val="00FA3077"/>
    <w:rsid w:val="00FB5C2A"/>
    <w:rsid w:val="00FB6E3D"/>
    <w:rsid w:val="00FC1AFA"/>
    <w:rsid w:val="00FC3B67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  <w14:docId w14:val="4A917DD8"/>
  <w15:docId w15:val="{480ADD5B-B5DE-4BDB-BA06-C3A76FD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</w:style>
  <w:style w:type="paragraph" w:styleId="BalloonText">
    <w:name w:val="Balloon Text"/>
    <w:basedOn w:val="Normal"/>
    <w:link w:val="BalloonTextChar"/>
    <w:rsid w:val="00FC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B67"/>
    <w:rPr>
      <w:rFonts w:ascii="Tahoma" w:hAnsi="Tahoma" w:cs="Tahoma"/>
      <w:sz w:val="16"/>
      <w:szCs w:val="16"/>
    </w:rPr>
  </w:style>
  <w:style w:type="character" w:customStyle="1" w:styleId="s7">
    <w:name w:val="s7"/>
    <w:basedOn w:val="DefaultParagraphFont"/>
    <w:rsid w:val="0075597C"/>
  </w:style>
  <w:style w:type="character" w:customStyle="1" w:styleId="s5">
    <w:name w:val="s5"/>
    <w:basedOn w:val="DefaultParagraphFont"/>
    <w:rsid w:val="0075597C"/>
  </w:style>
  <w:style w:type="paragraph" w:styleId="NormalWeb">
    <w:name w:val="Normal (Web)"/>
    <w:basedOn w:val="Normal"/>
    <w:uiPriority w:val="99"/>
    <w:unhideWhenUsed/>
    <w:rsid w:val="00295E4D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517F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A564C"/>
    <w:rPr>
      <w:color w:val="0000FF"/>
      <w:u w:val="single"/>
    </w:rPr>
  </w:style>
  <w:style w:type="paragraph" w:styleId="NoSpacing">
    <w:name w:val="No Spacing"/>
    <w:uiPriority w:val="1"/>
    <w:qFormat/>
    <w:rsid w:val="00302C5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nd.org/pubs/research_reports/RR3059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lhospital.org/sites/main/files/kh_covid_ca_financial_impact_6.1.20_final_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icari@calhospita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5885B3332C44922EA9E7CED166CD" ma:contentTypeVersion="10" ma:contentTypeDescription="Create a new document." ma:contentTypeScope="" ma:versionID="862c241a845d667cb3af916d9c1aedae">
  <xsd:schema xmlns:xsd="http://www.w3.org/2001/XMLSchema" xmlns:xs="http://www.w3.org/2001/XMLSchema" xmlns:p="http://schemas.microsoft.com/office/2006/metadata/properties" xmlns:ns3="35fed5b2-e679-46d5-ab50-a8414f3162d6" targetNamespace="http://schemas.microsoft.com/office/2006/metadata/properties" ma:root="true" ma:fieldsID="bc88209dca9b58af613a420a4d73c218" ns3:_="">
    <xsd:import namespace="35fed5b2-e679-46d5-ab50-a8414f31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d5b2-e679-46d5-ab50-a8414f31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C1949-7C73-4B61-89B6-EC1648240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78D31C-BB4B-461B-9214-4FFA5AE5C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d5b2-e679-46d5-ab50-a8414f31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CHA/CAHHS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Allison Bradley</cp:lastModifiedBy>
  <cp:revision>2</cp:revision>
  <cp:lastPrinted>2013-05-30T22:28:00Z</cp:lastPrinted>
  <dcterms:created xsi:type="dcterms:W3CDTF">2020-07-17T18:05:00Z</dcterms:created>
  <dcterms:modified xsi:type="dcterms:W3CDTF">2020-07-17T18:05:00Z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0x010100C4265885B3332C44922EA9E7CED166CD</vt:lpwstr>
  </property>
</Properties>
</file>