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AE5E" w14:textId="77777777" w:rsidR="005F4308" w:rsidRPr="003C2397" w:rsidRDefault="005F4308" w:rsidP="005F4308">
      <w:pPr>
        <w:rPr>
          <w:rFonts w:ascii="Arial" w:hAnsi="Arial"/>
          <w:bCs/>
          <w:szCs w:val="44"/>
        </w:rPr>
      </w:pPr>
      <w:bookmarkStart w:id="0" w:name="_GoBack"/>
      <w:bookmarkEnd w:id="0"/>
      <w:r w:rsidRPr="003838C0">
        <w:rPr>
          <w:rFonts w:ascii="Arial" w:hAnsi="Arial" w:cs="Arial"/>
          <w:b/>
          <w:smallCaps/>
        </w:rPr>
        <w:t xml:space="preserve">Draft </w:t>
      </w:r>
      <w:r>
        <w:rPr>
          <w:rFonts w:ascii="Arial" w:hAnsi="Arial" w:cs="Arial"/>
          <w:b/>
          <w:smallCaps/>
        </w:rPr>
        <w:t xml:space="preserve">Model </w:t>
      </w:r>
      <w:r w:rsidRPr="003838C0">
        <w:rPr>
          <w:rFonts w:ascii="Arial" w:hAnsi="Arial" w:cs="Arial"/>
          <w:b/>
          <w:smallCaps/>
        </w:rPr>
        <w:t>Comments on Price Transparency Provisions – OPPS Proposed Rule</w:t>
      </w:r>
    </w:p>
    <w:p w14:paraId="117F247E" w14:textId="77777777" w:rsidR="005F4308" w:rsidRPr="003838C0" w:rsidRDefault="005F4308" w:rsidP="005F4308">
      <w:pPr>
        <w:rPr>
          <w:rFonts w:ascii="Arial" w:hAnsi="Arial" w:cs="Arial"/>
          <w:b/>
          <w:smallCaps/>
        </w:rPr>
      </w:pPr>
    </w:p>
    <w:p w14:paraId="55A7AF2B" w14:textId="77777777" w:rsidR="005F4308" w:rsidRDefault="005F4308" w:rsidP="005F4308">
      <w:pPr>
        <w:rPr>
          <w:rFonts w:ascii="Arial" w:hAnsi="Arial" w:cs="Arial"/>
        </w:rPr>
      </w:pPr>
      <w:r>
        <w:rPr>
          <w:rFonts w:ascii="Arial" w:hAnsi="Arial" w:cs="Arial"/>
        </w:rPr>
        <w:t>The Centers for Medicare &amp; Medicaid Services (CMS) proposes to require that hospitals</w:t>
      </w:r>
      <w:r w:rsidRPr="00E71B3F">
        <w:rPr>
          <w:rFonts w:ascii="Arial" w:hAnsi="Arial" w:cs="Arial"/>
        </w:rPr>
        <w:t xml:space="preserve"> publicly post on the internet a machine-readable file containing both gross charges and “payer-specific negotiated charges” for all items and services. It also </w:t>
      </w:r>
      <w:r>
        <w:rPr>
          <w:rFonts w:ascii="Arial" w:hAnsi="Arial" w:cs="Arial"/>
        </w:rPr>
        <w:t>proposes to require</w:t>
      </w:r>
      <w:r w:rsidRPr="00E71B3F">
        <w:rPr>
          <w:rFonts w:ascii="Arial" w:hAnsi="Arial" w:cs="Arial"/>
        </w:rPr>
        <w:t xml:space="preserve"> hospitals to display</w:t>
      </w:r>
      <w:r>
        <w:rPr>
          <w:rFonts w:ascii="Arial" w:hAnsi="Arial" w:cs="Arial"/>
        </w:rPr>
        <w:t>,</w:t>
      </w:r>
      <w:r w:rsidRPr="00E71B3F">
        <w:rPr>
          <w:rFonts w:ascii="Arial" w:hAnsi="Arial" w:cs="Arial"/>
        </w:rPr>
        <w:t xml:space="preserve"> in an easy-to-understand format</w:t>
      </w:r>
      <w:r>
        <w:rPr>
          <w:rFonts w:ascii="Arial" w:hAnsi="Arial" w:cs="Arial"/>
        </w:rPr>
        <w:t>,</w:t>
      </w:r>
      <w:r w:rsidRPr="00E71B3F">
        <w:rPr>
          <w:rFonts w:ascii="Arial" w:hAnsi="Arial" w:cs="Arial"/>
        </w:rPr>
        <w:t xml:space="preserve"> negotiated charges and ce</w:t>
      </w:r>
      <w:r>
        <w:rPr>
          <w:rFonts w:ascii="Arial" w:hAnsi="Arial" w:cs="Arial"/>
        </w:rPr>
        <w:t>rtain other information for 300</w:t>
      </w:r>
      <w:r w:rsidRPr="00E71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E71B3F">
        <w:rPr>
          <w:rFonts w:ascii="Arial" w:hAnsi="Arial" w:cs="Arial"/>
        </w:rPr>
        <w:t>shoppable</w:t>
      </w:r>
      <w:r>
        <w:rPr>
          <w:rFonts w:ascii="Arial" w:hAnsi="Arial" w:cs="Arial"/>
        </w:rPr>
        <w:t xml:space="preserve">” items and services. </w:t>
      </w:r>
    </w:p>
    <w:p w14:paraId="1CF7E3B5" w14:textId="77777777" w:rsidR="005F4308" w:rsidRDefault="005F4308" w:rsidP="005F4308"/>
    <w:p w14:paraId="6CE75D7C" w14:textId="77777777" w:rsidR="005F4308" w:rsidRDefault="005F4308" w:rsidP="005F43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are deeply committed to </w:t>
      </w:r>
      <w:r w:rsidRPr="008D14C1">
        <w:rPr>
          <w:rFonts w:ascii="Arial" w:hAnsi="Arial" w:cs="Arial"/>
        </w:rPr>
        <w:t>ensuring patients have the information they need to make informed health care decisions, including timely, accurate estimat</w:t>
      </w:r>
      <w:r>
        <w:rPr>
          <w:rFonts w:ascii="Arial" w:hAnsi="Arial" w:cs="Arial"/>
        </w:rPr>
        <w:t>es of their out-of-pocket costs.</w:t>
      </w:r>
      <w:r w:rsidRPr="00E71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agency’s</w:t>
      </w:r>
      <w:r w:rsidRPr="00E71B3F">
        <w:rPr>
          <w:rFonts w:ascii="Arial" w:hAnsi="Arial" w:cs="Arial"/>
        </w:rPr>
        <w:t xml:space="preserve"> approach </w:t>
      </w:r>
      <w:r>
        <w:rPr>
          <w:rFonts w:ascii="Arial" w:hAnsi="Arial" w:cs="Arial"/>
        </w:rPr>
        <w:t xml:space="preserve">would confuse – not help – patients in understanding their potential out-of-pocket cost obligations, would severely disrupt contract negotiations between providers and health plans, and </w:t>
      </w:r>
      <w:r w:rsidRPr="00E71B3F">
        <w:rPr>
          <w:rFonts w:ascii="Arial" w:hAnsi="Arial" w:cs="Arial"/>
        </w:rPr>
        <w:t>exceeds the Administration's legal authority</w:t>
      </w:r>
      <w:r>
        <w:rPr>
          <w:rFonts w:ascii="Arial" w:hAnsi="Arial" w:cs="Arial"/>
        </w:rPr>
        <w:t xml:space="preserve">. </w:t>
      </w:r>
      <w:r w:rsidRPr="00F27FE4">
        <w:rPr>
          <w:rFonts w:ascii="Arial" w:hAnsi="Arial" w:cs="Arial"/>
          <w:b/>
        </w:rPr>
        <w:t xml:space="preserve">We urge CMS to abandon this proposal and instead convene providers, </w:t>
      </w:r>
      <w:r>
        <w:rPr>
          <w:rFonts w:ascii="Arial" w:hAnsi="Arial" w:cs="Arial"/>
          <w:b/>
        </w:rPr>
        <w:t>health plans</w:t>
      </w:r>
      <w:r w:rsidRPr="00F27FE4">
        <w:rPr>
          <w:rFonts w:ascii="Arial" w:hAnsi="Arial" w:cs="Arial"/>
          <w:b/>
        </w:rPr>
        <w:t>, patients and other stakeholders on approaches to meet patient needs.</w:t>
      </w:r>
      <w:r>
        <w:rPr>
          <w:rFonts w:ascii="Arial" w:hAnsi="Arial" w:cs="Arial"/>
          <w:b/>
        </w:rPr>
        <w:t xml:space="preserve"> </w:t>
      </w:r>
    </w:p>
    <w:p w14:paraId="02FA49DF" w14:textId="77777777" w:rsidR="005F4308" w:rsidRDefault="005F4308" w:rsidP="005F4308">
      <w:pPr>
        <w:rPr>
          <w:rFonts w:ascii="Arial" w:hAnsi="Arial" w:cs="Arial"/>
        </w:rPr>
      </w:pPr>
    </w:p>
    <w:p w14:paraId="56F0B22C" w14:textId="77777777" w:rsidR="005F4308" w:rsidRPr="007261EC" w:rsidRDefault="005F4308" w:rsidP="005F43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particular, we encourage CMS to take steps to facilitate the development and voluntary adoption of patient cost-estimator tools and resources by convening stakeholders to identify best practices, recommending standards for common features of cost-estimator tools, and developing solutions to common technical barriers. </w:t>
      </w:r>
    </w:p>
    <w:p w14:paraId="6AF02ABC" w14:textId="77777777" w:rsidR="005F4308" w:rsidRDefault="005F4308" w:rsidP="005F4308">
      <w:pPr>
        <w:rPr>
          <w:rFonts w:ascii="Arial" w:eastAsia="MS Mincho" w:hAnsi="Arial" w:cs="Times New Roman"/>
          <w:b/>
          <w:szCs w:val="20"/>
          <w:u w:val="single"/>
          <w:lang w:eastAsia="ja-JP"/>
        </w:rPr>
      </w:pPr>
    </w:p>
    <w:p w14:paraId="1AA45C98" w14:textId="77777777" w:rsidR="005F4308" w:rsidRPr="00191620" w:rsidRDefault="005F4308" w:rsidP="005F4308">
      <w:pPr>
        <w:spacing w:after="120"/>
        <w:rPr>
          <w:rFonts w:ascii="Arial" w:eastAsia="MS Mincho" w:hAnsi="Arial" w:cs="Times New Roman"/>
          <w:b/>
          <w:szCs w:val="20"/>
          <w:lang w:eastAsia="ja-JP"/>
        </w:rPr>
      </w:pPr>
      <w:r>
        <w:rPr>
          <w:rFonts w:ascii="Arial" w:eastAsia="MS Mincho" w:hAnsi="Arial" w:cs="Times New Roman"/>
          <w:b/>
          <w:szCs w:val="20"/>
          <w:u w:val="single"/>
          <w:lang w:eastAsia="ja-JP"/>
        </w:rPr>
        <w:t xml:space="preserve">The Proposed Disclosure of Payer-Specific Negotiated Charges is Unlawful </w:t>
      </w:r>
    </w:p>
    <w:p w14:paraId="2E80F515" w14:textId="77777777" w:rsidR="005F4308" w:rsidRPr="00256591" w:rsidRDefault="005F4308" w:rsidP="005F4308">
      <w:pPr>
        <w:widowControl w:val="0"/>
        <w:rPr>
          <w:rFonts w:ascii="Arial" w:eastAsia="MS Mincho" w:hAnsi="Arial" w:cs="Times New Roman"/>
          <w:szCs w:val="20"/>
          <w:lang w:eastAsia="ja-JP"/>
        </w:rPr>
      </w:pPr>
      <w:r w:rsidRPr="00191620">
        <w:rPr>
          <w:rFonts w:ascii="Arial" w:eastAsia="MS Mincho" w:hAnsi="Arial" w:cs="Times New Roman"/>
          <w:szCs w:val="20"/>
          <w:lang w:eastAsia="ja-JP"/>
        </w:rPr>
        <w:t xml:space="preserve">CMS </w:t>
      </w:r>
      <w:r>
        <w:rPr>
          <w:rFonts w:ascii="Arial" w:eastAsia="MS Mincho" w:hAnsi="Arial" w:cs="Times New Roman"/>
          <w:szCs w:val="20"/>
          <w:lang w:eastAsia="ja-JP"/>
        </w:rPr>
        <w:t>l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acks </w:t>
      </w:r>
      <w:r>
        <w:rPr>
          <w:rFonts w:ascii="Arial" w:eastAsia="MS Mincho" w:hAnsi="Arial" w:cs="Times New Roman"/>
          <w:szCs w:val="20"/>
          <w:lang w:eastAsia="ja-JP"/>
        </w:rPr>
        <w:t>the l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egal </w:t>
      </w:r>
      <w:r>
        <w:rPr>
          <w:rFonts w:ascii="Arial" w:eastAsia="MS Mincho" w:hAnsi="Arial" w:cs="Times New Roman"/>
          <w:szCs w:val="20"/>
          <w:lang w:eastAsia="ja-JP"/>
        </w:rPr>
        <w:t>a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uthority to </w:t>
      </w:r>
      <w:r>
        <w:rPr>
          <w:rFonts w:ascii="Arial" w:eastAsia="MS Mincho" w:hAnsi="Arial" w:cs="Times New Roman"/>
          <w:szCs w:val="20"/>
          <w:lang w:eastAsia="ja-JP"/>
        </w:rPr>
        <w:t>r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equire </w:t>
      </w:r>
      <w:r>
        <w:rPr>
          <w:rFonts w:ascii="Arial" w:eastAsia="MS Mincho" w:hAnsi="Arial" w:cs="Times New Roman"/>
          <w:szCs w:val="20"/>
          <w:lang w:eastAsia="ja-JP"/>
        </w:rPr>
        <w:t>h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ospitals to </w:t>
      </w:r>
      <w:r>
        <w:rPr>
          <w:rFonts w:ascii="Arial" w:eastAsia="MS Mincho" w:hAnsi="Arial" w:cs="Times New Roman"/>
          <w:szCs w:val="20"/>
          <w:lang w:eastAsia="ja-JP"/>
        </w:rPr>
        <w:t>m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ake </w:t>
      </w:r>
      <w:r>
        <w:rPr>
          <w:rFonts w:ascii="Arial" w:eastAsia="MS Mincho" w:hAnsi="Arial" w:cs="Times New Roman"/>
          <w:szCs w:val="20"/>
          <w:lang w:eastAsia="ja-JP"/>
        </w:rPr>
        <w:t>p</w:t>
      </w:r>
      <w:r w:rsidRPr="00191620">
        <w:rPr>
          <w:rFonts w:ascii="Arial" w:eastAsia="MS Mincho" w:hAnsi="Arial" w:cs="Times New Roman"/>
          <w:szCs w:val="20"/>
          <w:lang w:eastAsia="ja-JP"/>
        </w:rPr>
        <w:t xml:space="preserve">ublic </w:t>
      </w:r>
      <w:r>
        <w:rPr>
          <w:rFonts w:ascii="Arial" w:eastAsia="MS Mincho" w:hAnsi="Arial" w:cs="Times New Roman"/>
          <w:szCs w:val="20"/>
          <w:lang w:eastAsia="ja-JP"/>
        </w:rPr>
        <w:t>payer-specific negotiated charges. S</w:t>
      </w:r>
      <w:r w:rsidRPr="00256591">
        <w:rPr>
          <w:rFonts w:ascii="Arial" w:eastAsia="MS Mincho" w:hAnsi="Arial" w:cs="Times New Roman"/>
          <w:szCs w:val="20"/>
          <w:lang w:eastAsia="ja-JP"/>
        </w:rPr>
        <w:t>ection 2718(e)</w:t>
      </w:r>
      <w:r>
        <w:rPr>
          <w:rFonts w:ascii="Arial" w:eastAsia="MS Mincho" w:hAnsi="Arial" w:cs="Times New Roman"/>
          <w:szCs w:val="20"/>
          <w:lang w:eastAsia="ja-JP"/>
        </w:rPr>
        <w:t xml:space="preserve"> of the Public Health Service Act (PHSA)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does not provide CMS with authority to establish these requirements.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>CMS’</w:t>
      </w:r>
      <w:r>
        <w:rPr>
          <w:rFonts w:ascii="Arial" w:eastAsia="MS Mincho" w:hAnsi="Arial" w:cs="Times New Roman"/>
          <w:szCs w:val="20"/>
          <w:lang w:eastAsia="ja-JP"/>
        </w:rPr>
        <w:t>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proposal is contrary to the </w:t>
      </w:r>
      <w:r>
        <w:rPr>
          <w:rFonts w:ascii="Arial" w:eastAsia="MS Mincho" w:hAnsi="Arial" w:cs="Times New Roman"/>
          <w:szCs w:val="20"/>
          <w:lang w:eastAsia="ja-JP"/>
        </w:rPr>
        <w:t xml:space="preserve">plain </w:t>
      </w:r>
      <w:r w:rsidRPr="00256591">
        <w:rPr>
          <w:rFonts w:ascii="Arial" w:eastAsia="MS Mincho" w:hAnsi="Arial" w:cs="Times New Roman"/>
          <w:szCs w:val="20"/>
          <w:lang w:eastAsia="ja-JP"/>
        </w:rPr>
        <w:t>language of the statute</w:t>
      </w:r>
      <w:r>
        <w:rPr>
          <w:rFonts w:ascii="Arial" w:eastAsia="MS Mincho" w:hAnsi="Arial" w:cs="Times New Roman"/>
          <w:szCs w:val="20"/>
          <w:lang w:eastAsia="ja-JP"/>
        </w:rPr>
        <w:t>, as n</w:t>
      </w:r>
      <w:r w:rsidRPr="00265487">
        <w:rPr>
          <w:rFonts w:ascii="Arial" w:eastAsia="MS Mincho" w:hAnsi="Arial" w:cs="Times New Roman"/>
          <w:szCs w:val="20"/>
          <w:lang w:eastAsia="ja-JP"/>
        </w:rPr>
        <w:t xml:space="preserve">egotiated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65487">
        <w:rPr>
          <w:rFonts w:ascii="Arial" w:eastAsia="MS Mincho" w:hAnsi="Arial" w:cs="Times New Roman"/>
          <w:szCs w:val="20"/>
          <w:lang w:eastAsia="ja-JP"/>
        </w:rPr>
        <w:t xml:space="preserve"> are not </w:t>
      </w:r>
      <w:r>
        <w:rPr>
          <w:rFonts w:ascii="Arial" w:eastAsia="MS Mincho" w:hAnsi="Arial" w:cs="Times New Roman"/>
          <w:szCs w:val="20"/>
          <w:lang w:eastAsia="ja-JP"/>
        </w:rPr>
        <w:t>“</w:t>
      </w:r>
      <w:r w:rsidRPr="00265487">
        <w:rPr>
          <w:rFonts w:ascii="Arial" w:eastAsia="MS Mincho" w:hAnsi="Arial" w:cs="Times New Roman"/>
          <w:szCs w:val="20"/>
          <w:lang w:eastAsia="ja-JP"/>
        </w:rPr>
        <w:t>standard charges.</w:t>
      </w:r>
      <w:r>
        <w:rPr>
          <w:rFonts w:ascii="Arial" w:eastAsia="MS Mincho" w:hAnsi="Arial" w:cs="Times New Roman"/>
          <w:szCs w:val="20"/>
          <w:lang w:eastAsia="ja-JP"/>
        </w:rPr>
        <w:t>”</w:t>
      </w:r>
      <w:r w:rsidRPr="00265487">
        <w:rPr>
          <w:rFonts w:ascii="Arial" w:eastAsia="MS Mincho" w:hAnsi="Arial" w:cs="Times New Roman"/>
          <w:szCs w:val="20"/>
          <w:lang w:eastAsia="ja-JP"/>
        </w:rPr>
        <w:t xml:space="preserve"> By definition, a “standard charge” is not privately negotiated and does not contemplate different charges for different payers. </w:t>
      </w:r>
      <w:r>
        <w:rPr>
          <w:rFonts w:ascii="Arial" w:eastAsia="MS Mincho" w:hAnsi="Arial" w:cs="Times New Roman"/>
          <w:szCs w:val="20"/>
          <w:lang w:eastAsia="ja-JP"/>
        </w:rPr>
        <w:t>“Standard charges” has long been understood to be a technical term that means a hospital’s usual or customary chargemaster charge.</w:t>
      </w:r>
      <w:r w:rsidRPr="008D19F8">
        <w:rPr>
          <w:rFonts w:ascii="Arial" w:eastAsia="MS Mincho" w:hAnsi="Arial" w:cs="Times New Roman"/>
          <w:szCs w:val="20"/>
          <w:lang w:eastAsia="ja-JP"/>
        </w:rPr>
        <w:t xml:space="preserve"> 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</w:p>
    <w:p w14:paraId="2446F382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50F883A3" w14:textId="77777777" w:rsidR="005F4308" w:rsidRPr="00256591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 w:rsidRPr="00256591">
        <w:rPr>
          <w:rFonts w:ascii="Arial" w:eastAsia="MS Mincho" w:hAnsi="Arial" w:cs="Times New Roman"/>
          <w:szCs w:val="20"/>
          <w:lang w:eastAsia="ja-JP"/>
        </w:rPr>
        <w:t>CMS’</w:t>
      </w:r>
      <w:r>
        <w:rPr>
          <w:rFonts w:ascii="Arial" w:eastAsia="MS Mincho" w:hAnsi="Arial" w:cs="Times New Roman"/>
          <w:szCs w:val="20"/>
          <w:lang w:eastAsia="ja-JP"/>
        </w:rPr>
        <w:t>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proposed definition </w:t>
      </w:r>
      <w:r>
        <w:rPr>
          <w:rFonts w:ascii="Arial" w:eastAsia="MS Mincho" w:hAnsi="Arial" w:cs="Times New Roman"/>
          <w:szCs w:val="20"/>
          <w:lang w:eastAsia="ja-JP"/>
        </w:rPr>
        <w:t>also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violates the Administrative Procedure Act (APA) because it is unreasonable.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>In general usage, “standard” means “usual, common or customary.”</w:t>
      </w:r>
      <w:r w:rsidRPr="00256591">
        <w:rPr>
          <w:rFonts w:ascii="Arial" w:eastAsia="MS Mincho" w:hAnsi="Arial" w:cs="Times New Roman"/>
          <w:color w:val="000000"/>
          <w:szCs w:val="20"/>
          <w:vertAlign w:val="superscript"/>
          <w:lang w:eastAsia="ja-JP"/>
        </w:rPr>
        <w:footnoteReference w:id="1"/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Payer-specific negotiated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are not usual, common or customary.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They vary year by year, payer by payer and even health plan by </w:t>
      </w:r>
      <w:r>
        <w:rPr>
          <w:rFonts w:ascii="Arial" w:eastAsia="MS Mincho" w:hAnsi="Arial" w:cs="Times New Roman"/>
          <w:szCs w:val="20"/>
          <w:lang w:eastAsia="ja-JP"/>
        </w:rPr>
        <w:t xml:space="preserve">health </w:t>
      </w:r>
      <w:r w:rsidRPr="00256591">
        <w:rPr>
          <w:rFonts w:ascii="Arial" w:eastAsia="MS Mincho" w:hAnsi="Arial" w:cs="Times New Roman"/>
          <w:szCs w:val="20"/>
          <w:lang w:eastAsia="ja-JP"/>
        </w:rPr>
        <w:t>plan.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>Indeed, CMS</w:t>
      </w:r>
      <w:r>
        <w:rPr>
          <w:rFonts w:ascii="Arial" w:eastAsia="MS Mincho" w:hAnsi="Arial" w:cs="Times New Roman"/>
          <w:szCs w:val="20"/>
          <w:lang w:eastAsia="ja-JP"/>
        </w:rPr>
        <w:t xml:space="preserve"> has defined “charges” to mean “the regular rates established by the provider for services rendered to both [Medicare] beneficiaries and to other paying patients. Charges should be . . . </w:t>
      </w:r>
      <w:r w:rsidRPr="005F2614">
        <w:rPr>
          <w:rFonts w:ascii="Arial" w:eastAsia="MS Mincho" w:hAnsi="Arial" w:cs="Times New Roman"/>
          <w:i/>
          <w:szCs w:val="20"/>
          <w:lang w:eastAsia="ja-JP"/>
        </w:rPr>
        <w:t>uniformly applied to all patients</w:t>
      </w:r>
      <w:r>
        <w:rPr>
          <w:rFonts w:ascii="Arial" w:eastAsia="MS Mincho" w:hAnsi="Arial" w:cs="Times New Roman"/>
          <w:szCs w:val="20"/>
          <w:lang w:eastAsia="ja-JP"/>
        </w:rPr>
        <w:t xml:space="preserve"> . . . .”</w:t>
      </w:r>
      <w:r>
        <w:rPr>
          <w:rStyle w:val="FootnoteReference"/>
          <w:rFonts w:ascii="Arial" w:eastAsia="MS Mincho" w:hAnsi="Arial" w:cs="Times New Roman"/>
          <w:szCs w:val="20"/>
          <w:lang w:eastAsia="ja-JP"/>
        </w:rPr>
        <w:footnoteReference w:id="2"/>
      </w:r>
      <w:r>
        <w:rPr>
          <w:rFonts w:ascii="Arial" w:eastAsia="MS Mincho" w:hAnsi="Arial" w:cs="Times New Roman"/>
          <w:szCs w:val="20"/>
          <w:lang w:eastAsia="ja-JP"/>
        </w:rPr>
        <w:t xml:space="preserve"> And the agency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’s rationale for seeking to require that payer-specific negotiated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be made public undercuts the notion that those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are standard: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CMS wants payer-specific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to be public precisely because those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are not standard.</w:t>
      </w:r>
      <w:r w:rsidRPr="00256591">
        <w:rPr>
          <w:rFonts w:ascii="Arial" w:eastAsia="MS Mincho" w:hAnsi="Arial" w:cs="Times New Roman"/>
          <w:color w:val="000000"/>
          <w:szCs w:val="20"/>
          <w:vertAlign w:val="superscript"/>
          <w:lang w:eastAsia="ja-JP"/>
        </w:rPr>
        <w:footnoteReference w:id="3"/>
      </w:r>
    </w:p>
    <w:p w14:paraId="68DEF401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4C43CADD" w14:textId="77777777" w:rsidR="005F4308" w:rsidRPr="00256591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5FCA6DD4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 w:rsidRPr="00256591">
        <w:rPr>
          <w:rFonts w:ascii="Arial" w:eastAsia="MS Mincho" w:hAnsi="Arial" w:cs="Times New Roman"/>
          <w:szCs w:val="20"/>
          <w:lang w:eastAsia="ja-JP"/>
        </w:rPr>
        <w:lastRenderedPageBreak/>
        <w:t>CMS’</w:t>
      </w:r>
      <w:r>
        <w:rPr>
          <w:rFonts w:ascii="Arial" w:eastAsia="MS Mincho" w:hAnsi="Arial" w:cs="Times New Roman"/>
          <w:szCs w:val="20"/>
          <w:lang w:eastAsia="ja-JP"/>
        </w:rPr>
        <w:t>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proposal would violate the First Amendment </w:t>
      </w:r>
      <w:r>
        <w:rPr>
          <w:rFonts w:ascii="Arial" w:eastAsia="MS Mincho" w:hAnsi="Arial" w:cs="Times New Roman"/>
          <w:szCs w:val="20"/>
          <w:lang w:eastAsia="ja-JP"/>
        </w:rPr>
        <w:t xml:space="preserve">as well,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by compelling the public disclosure of individual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privately negotiated between hospitals and </w:t>
      </w:r>
      <w:r>
        <w:rPr>
          <w:rFonts w:ascii="Arial" w:eastAsia="MS Mincho" w:hAnsi="Arial" w:cs="Times New Roman"/>
          <w:szCs w:val="20"/>
          <w:lang w:eastAsia="ja-JP"/>
        </w:rPr>
        <w:t>health plans</w:t>
      </w:r>
      <w:r w:rsidRPr="00256591">
        <w:rPr>
          <w:rFonts w:ascii="Arial" w:eastAsia="MS Mincho" w:hAnsi="Arial" w:cs="Times New Roman"/>
          <w:szCs w:val="20"/>
          <w:lang w:eastAsia="ja-JP"/>
        </w:rPr>
        <w:t>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>Government regulation of non-misleading commercial speech is unlawful unless it “directly advances” a “substantial” governmental interest, and is no “more extensive than is necessary to serve that interest</w:t>
      </w:r>
      <w:r>
        <w:rPr>
          <w:rFonts w:ascii="Arial" w:eastAsia="MS Mincho" w:hAnsi="Arial" w:cs="Times New Roman"/>
          <w:szCs w:val="20"/>
          <w:lang w:eastAsia="ja-JP"/>
        </w:rPr>
        <w:t>.”</w:t>
      </w:r>
      <w:r w:rsidRPr="00FF7A07">
        <w:rPr>
          <w:rFonts w:ascii="Arial" w:eastAsia="MS Mincho" w:hAnsi="Arial" w:cs="Times New Roman"/>
          <w:szCs w:val="20"/>
          <w:vertAlign w:val="superscript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vertAlign w:val="superscript"/>
          <w:lang w:eastAsia="ja-JP"/>
        </w:rPr>
        <w:footnoteReference w:id="4"/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</w:p>
    <w:p w14:paraId="73E44D48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1875B93F" w14:textId="77777777" w:rsidR="005F4308" w:rsidRPr="00256591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 w:rsidRPr="00256591">
        <w:rPr>
          <w:rFonts w:ascii="Arial" w:eastAsia="MS Mincho" w:hAnsi="Arial" w:cs="Times New Roman"/>
          <w:szCs w:val="20"/>
          <w:lang w:eastAsia="ja-JP"/>
        </w:rPr>
        <w:t xml:space="preserve">CMS’s stated interest in putting </w:t>
      </w:r>
      <w:r w:rsidRPr="00256591">
        <w:rPr>
          <w:rFonts w:ascii="Arial" w:eastAsia="MS Mincho" w:hAnsi="Arial" w:cs="Times New Roman"/>
          <w:i/>
          <w:szCs w:val="20"/>
          <w:lang w:eastAsia="ja-JP"/>
        </w:rPr>
        <w:t>consumers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“at the center of their health care”</w:t>
      </w:r>
      <w:r>
        <w:rPr>
          <w:rFonts w:ascii="Arial" w:eastAsia="MS Mincho" w:hAnsi="Arial" w:cs="Times New Roman"/>
          <w:szCs w:val="20"/>
          <w:lang w:eastAsia="ja-JP"/>
        </w:rPr>
        <w:t xml:space="preserve"> is unlikely to be served by the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mandated disclosure</w:t>
      </w:r>
      <w:r>
        <w:rPr>
          <w:rFonts w:ascii="Arial" w:eastAsia="MS Mincho" w:hAnsi="Arial" w:cs="Times New Roman"/>
          <w:szCs w:val="20"/>
          <w:lang w:eastAsia="ja-JP"/>
        </w:rPr>
        <w:t>s</w:t>
      </w:r>
      <w:r w:rsidRPr="00256591">
        <w:rPr>
          <w:rFonts w:ascii="Arial" w:eastAsia="MS Mincho" w:hAnsi="Arial" w:cs="Times New Roman"/>
          <w:szCs w:val="20"/>
          <w:lang w:eastAsia="ja-JP"/>
        </w:rPr>
        <w:t>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The agency’s own research makes clear that when it comes to price, patients are interested in their </w:t>
      </w:r>
      <w:r w:rsidRPr="00256591">
        <w:rPr>
          <w:rFonts w:ascii="Arial" w:eastAsia="MS Mincho" w:hAnsi="Arial" w:cs="Times New Roman"/>
          <w:i/>
          <w:szCs w:val="20"/>
          <w:lang w:eastAsia="ja-JP"/>
        </w:rPr>
        <w:t>own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out-of-pocket costs—not their </w:t>
      </w:r>
      <w:r>
        <w:rPr>
          <w:rFonts w:ascii="Arial" w:eastAsia="MS Mincho" w:hAnsi="Arial" w:cs="Times New Roman"/>
          <w:szCs w:val="20"/>
          <w:lang w:eastAsia="ja-JP"/>
        </w:rPr>
        <w:t>health plan’s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costs.</w:t>
      </w:r>
      <w:r w:rsidRPr="00A160E0">
        <w:rPr>
          <w:rFonts w:ascii="Arial" w:eastAsia="MS Mincho" w:hAnsi="Arial" w:cs="Times New Roman"/>
          <w:szCs w:val="20"/>
          <w:lang w:eastAsia="ja-JP"/>
        </w:rPr>
        <w:t xml:space="preserve"> </w:t>
      </w:r>
      <w:r>
        <w:rPr>
          <w:rFonts w:ascii="Arial" w:eastAsia="MS Mincho" w:hAnsi="Arial" w:cs="Times New Roman"/>
          <w:szCs w:val="20"/>
          <w:lang w:eastAsia="ja-JP"/>
        </w:rPr>
        <w:t xml:space="preserve">CMS’ repeated admissions that the proposed disclosures are merely </w:t>
      </w:r>
      <w:r w:rsidRPr="00256591">
        <w:rPr>
          <w:rFonts w:ascii="Arial" w:eastAsia="MS Mincho" w:hAnsi="Arial" w:cs="Times New Roman"/>
          <w:szCs w:val="20"/>
          <w:lang w:eastAsia="ja-JP"/>
        </w:rPr>
        <w:t>a “first step” or a “step towards” the rule’s stated goals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A160E0">
        <w:rPr>
          <w:rFonts w:ascii="Arial" w:eastAsia="MS Mincho" w:hAnsi="Arial" w:cs="Times New Roman"/>
          <w:szCs w:val="20"/>
          <w:lang w:eastAsia="ja-JP"/>
        </w:rPr>
        <w:t>make clear that the proposed rule does not “directly” and “materially” serve the stated interest</w:t>
      </w:r>
      <w:r w:rsidRPr="00256591">
        <w:rPr>
          <w:rFonts w:ascii="Arial" w:eastAsia="MS Mincho" w:hAnsi="Arial" w:cs="Times New Roman"/>
          <w:szCs w:val="20"/>
          <w:lang w:eastAsia="ja-JP"/>
        </w:rPr>
        <w:t>.</w:t>
      </w:r>
      <w:r w:rsidRPr="00256591">
        <w:rPr>
          <w:rFonts w:ascii="Arial" w:eastAsia="MS Mincho" w:hAnsi="Arial" w:cs="Times New Roman"/>
          <w:szCs w:val="20"/>
          <w:vertAlign w:val="superscript"/>
          <w:lang w:eastAsia="ja-JP"/>
        </w:rPr>
        <w:footnoteReference w:id="5"/>
      </w:r>
      <w:r>
        <w:rPr>
          <w:rFonts w:ascii="Arial" w:eastAsia="MS Mincho" w:hAnsi="Arial" w:cs="Times New Roman"/>
          <w:szCs w:val="20"/>
          <w:lang w:eastAsia="ja-JP"/>
        </w:rPr>
        <w:t xml:space="preserve">  </w:t>
      </w:r>
    </w:p>
    <w:p w14:paraId="7750638D" w14:textId="77777777" w:rsidR="005F4308" w:rsidRPr="00256591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620804DE" w14:textId="77777777" w:rsidR="005F4308" w:rsidRDefault="005F4308" w:rsidP="005F4308">
      <w:r w:rsidRPr="00256591">
        <w:rPr>
          <w:rFonts w:ascii="Arial" w:eastAsia="MS Mincho" w:hAnsi="Arial" w:cs="Times New Roman"/>
          <w:szCs w:val="20"/>
          <w:lang w:eastAsia="ja-JP"/>
        </w:rPr>
        <w:t>CMS’</w:t>
      </w:r>
      <w:r>
        <w:rPr>
          <w:rFonts w:ascii="Arial" w:eastAsia="MS Mincho" w:hAnsi="Arial" w:cs="Times New Roman"/>
          <w:szCs w:val="20"/>
          <w:lang w:eastAsia="ja-JP"/>
        </w:rPr>
        <w:t>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proposal </w:t>
      </w:r>
      <w:r>
        <w:rPr>
          <w:rFonts w:ascii="Arial" w:eastAsia="MS Mincho" w:hAnsi="Arial" w:cs="Times New Roman"/>
          <w:szCs w:val="20"/>
          <w:lang w:eastAsia="ja-JP"/>
        </w:rPr>
        <w:t xml:space="preserve">also is </w:t>
      </w:r>
      <w:r w:rsidRPr="00256591">
        <w:rPr>
          <w:rFonts w:ascii="Arial" w:eastAsia="MS Mincho" w:hAnsi="Arial" w:cs="Times New Roman"/>
          <w:szCs w:val="20"/>
          <w:lang w:eastAsia="ja-JP"/>
        </w:rPr>
        <w:t>much more extensive than necessary to serve the proffered interest.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Because hospitals rely heavily on the confidentiality of </w:t>
      </w:r>
      <w:r>
        <w:rPr>
          <w:rFonts w:ascii="Arial" w:eastAsia="MS Mincho" w:hAnsi="Arial" w:cs="Times New Roman"/>
          <w:szCs w:val="20"/>
          <w:lang w:eastAsia="ja-JP"/>
        </w:rPr>
        <w:t>health plan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-negotiated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to permit them to negotiate arm’s-length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with other </w:t>
      </w:r>
      <w:r>
        <w:rPr>
          <w:rFonts w:ascii="Arial" w:eastAsia="MS Mincho" w:hAnsi="Arial" w:cs="Times New Roman"/>
          <w:szCs w:val="20"/>
          <w:lang w:eastAsia="ja-JP"/>
        </w:rPr>
        <w:t>health plans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, disclosure of prices negotiated with individual </w:t>
      </w:r>
      <w:r>
        <w:rPr>
          <w:rFonts w:ascii="Arial" w:eastAsia="MS Mincho" w:hAnsi="Arial" w:cs="Times New Roman"/>
          <w:szCs w:val="20"/>
          <w:lang w:eastAsia="ja-JP"/>
        </w:rPr>
        <w:t>health plans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would unduly burden hospitals’ ability to enter into competitive contracts</w:t>
      </w:r>
      <w:r>
        <w:rPr>
          <w:rFonts w:ascii="Arial" w:eastAsia="MS Mincho" w:hAnsi="Arial" w:cs="Times New Roman"/>
          <w:szCs w:val="20"/>
          <w:lang w:eastAsia="ja-JP"/>
        </w:rPr>
        <w:t xml:space="preserve">; it </w:t>
      </w:r>
      <w:r w:rsidRPr="00256591">
        <w:rPr>
          <w:rFonts w:ascii="Arial" w:eastAsia="MS Mincho" w:hAnsi="Arial" w:cs="Times New Roman"/>
          <w:szCs w:val="20"/>
          <w:lang w:eastAsia="ja-JP"/>
        </w:rPr>
        <w:t>goes well beyond the level of regulation necessary to promote the stated government interest.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The </w:t>
      </w:r>
      <w:r>
        <w:rPr>
          <w:rFonts w:ascii="Arial" w:eastAsia="MS Mincho" w:hAnsi="Arial" w:cs="Times New Roman"/>
          <w:szCs w:val="20"/>
          <w:lang w:eastAsia="ja-JP"/>
        </w:rPr>
        <w:t>charges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negotiated between hospitals and </w:t>
      </w:r>
      <w:r>
        <w:rPr>
          <w:rFonts w:ascii="Arial" w:eastAsia="MS Mincho" w:hAnsi="Arial" w:cs="Times New Roman"/>
          <w:szCs w:val="20"/>
          <w:lang w:eastAsia="ja-JP"/>
        </w:rPr>
        <w:t>health plans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are confidential trade secrets.</w:t>
      </w:r>
      <w:r w:rsidRPr="00256591">
        <w:rPr>
          <w:rFonts w:ascii="Arial" w:eastAsia="MS Mincho" w:hAnsi="Arial" w:cs="Times New Roman"/>
          <w:szCs w:val="20"/>
          <w:vertAlign w:val="superscript"/>
          <w:lang w:eastAsia="ja-JP"/>
        </w:rPr>
        <w:footnoteReference w:id="6"/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>As such, requiring their public disclosure would infringe upon intellectual property rights recognized by Congress and individual states.</w:t>
      </w:r>
      <w:r w:rsidRPr="00256591">
        <w:rPr>
          <w:rFonts w:ascii="Arial" w:eastAsia="MS Mincho" w:hAnsi="Arial" w:cs="Times New Roman"/>
          <w:szCs w:val="20"/>
          <w:vertAlign w:val="superscript"/>
          <w:lang w:eastAsia="ja-JP"/>
        </w:rPr>
        <w:footnoteReference w:id="7"/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</w:p>
    <w:p w14:paraId="68AFA12C" w14:textId="77777777" w:rsidR="005F4308" w:rsidRPr="00256591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34C6FDBC" w14:textId="77777777" w:rsidR="005F4308" w:rsidRPr="00256591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>
        <w:rPr>
          <w:rFonts w:ascii="Arial" w:eastAsia="MS Mincho" w:hAnsi="Arial" w:cs="Times New Roman"/>
          <w:szCs w:val="20"/>
          <w:lang w:eastAsia="ja-JP"/>
        </w:rPr>
        <w:t>M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andating the public disclosure of trade secrets protected under both federal and state law would </w:t>
      </w:r>
      <w:r w:rsidRPr="00256591">
        <w:rPr>
          <w:rFonts w:ascii="Arial" w:eastAsia="MS Mincho" w:hAnsi="Arial" w:cs="Arial"/>
          <w:lang w:eastAsia="ja-JP"/>
        </w:rPr>
        <w:t>result in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extreme harm to hospitals and </w:t>
      </w:r>
      <w:r>
        <w:rPr>
          <w:rFonts w:ascii="Arial" w:eastAsia="MS Mincho" w:hAnsi="Arial" w:cs="Times New Roman"/>
          <w:szCs w:val="20"/>
          <w:lang w:eastAsia="ja-JP"/>
        </w:rPr>
        <w:t>health plans</w:t>
      </w:r>
      <w:r w:rsidRPr="00256591">
        <w:rPr>
          <w:rFonts w:ascii="Arial" w:eastAsia="MS Mincho" w:hAnsi="Arial" w:cs="Times New Roman"/>
          <w:szCs w:val="20"/>
          <w:lang w:eastAsia="ja-JP"/>
        </w:rPr>
        <w:t xml:space="preserve"> alike.</w:t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  <w:r w:rsidRPr="00256591">
        <w:rPr>
          <w:rFonts w:ascii="Arial" w:eastAsia="MS Mincho" w:hAnsi="Arial" w:cs="Times New Roman"/>
          <w:szCs w:val="20"/>
          <w:lang w:eastAsia="ja-JP"/>
        </w:rPr>
        <w:t>The agency has failed to demonstrate that the proposed regulation is narrowly tailored or that its interests “cannot be protected adequately by more limited regulation of . . . commercial expression.”</w:t>
      </w:r>
      <w:r w:rsidRPr="00256591">
        <w:rPr>
          <w:rFonts w:ascii="Arial" w:eastAsia="MS Mincho" w:hAnsi="Arial" w:cs="Times New Roman"/>
          <w:szCs w:val="20"/>
          <w:vertAlign w:val="superscript"/>
          <w:lang w:eastAsia="ja-JP"/>
        </w:rPr>
        <w:footnoteReference w:id="8"/>
      </w:r>
      <w:r>
        <w:rPr>
          <w:rFonts w:ascii="Arial" w:eastAsia="MS Mincho" w:hAnsi="Arial" w:cs="Times New Roman"/>
          <w:szCs w:val="20"/>
          <w:lang w:eastAsia="ja-JP"/>
        </w:rPr>
        <w:t xml:space="preserve"> </w:t>
      </w:r>
    </w:p>
    <w:p w14:paraId="5100EC96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>
        <w:rPr>
          <w:rFonts w:ascii="Arial" w:eastAsia="MS Mincho" w:hAnsi="Arial" w:cs="Times New Roman"/>
          <w:szCs w:val="20"/>
          <w:lang w:eastAsia="ja-JP"/>
        </w:rPr>
        <w:t xml:space="preserve"> </w:t>
      </w:r>
    </w:p>
    <w:p w14:paraId="2B8127C9" w14:textId="77777777" w:rsidR="005F4308" w:rsidRDefault="005F4308" w:rsidP="005F4308">
      <w:pPr>
        <w:spacing w:after="120"/>
        <w:rPr>
          <w:rFonts w:ascii="Arial" w:eastAsia="MS Mincho" w:hAnsi="Arial" w:cs="Times New Roman"/>
          <w:b/>
          <w:szCs w:val="20"/>
          <w:u w:val="single"/>
          <w:lang w:eastAsia="ja-JP"/>
        </w:rPr>
      </w:pPr>
      <w:r>
        <w:rPr>
          <w:rFonts w:ascii="Arial" w:eastAsia="MS Mincho" w:hAnsi="Arial" w:cs="Times New Roman"/>
          <w:b/>
          <w:szCs w:val="20"/>
          <w:u w:val="single"/>
          <w:lang w:eastAsia="ja-JP"/>
        </w:rPr>
        <w:t>Disclosure of Payer-Specific Negotiated Charges Would Harm Consumers and Competition</w:t>
      </w:r>
    </w:p>
    <w:p w14:paraId="14E01613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>
        <w:rPr>
          <w:rFonts w:ascii="Arial" w:eastAsia="MS Mincho" w:hAnsi="Arial" w:cs="Times New Roman"/>
          <w:szCs w:val="20"/>
          <w:lang w:eastAsia="ja-JP"/>
        </w:rPr>
        <w:t>Apart from its legal infirmities, the proposed disclosure threatens competition and the movement toward value-based care. T</w:t>
      </w:r>
      <w:r w:rsidRPr="0077458B">
        <w:rPr>
          <w:rFonts w:ascii="Arial" w:eastAsia="MS Mincho" w:hAnsi="Arial" w:cs="Times New Roman"/>
          <w:szCs w:val="20"/>
          <w:lang w:eastAsia="ja-JP"/>
        </w:rPr>
        <w:t xml:space="preserve">he Federal Trade Commission </w:t>
      </w:r>
      <w:r>
        <w:rPr>
          <w:rFonts w:ascii="Arial" w:eastAsia="MS Mincho" w:hAnsi="Arial" w:cs="Times New Roman"/>
          <w:szCs w:val="20"/>
          <w:lang w:eastAsia="ja-JP"/>
        </w:rPr>
        <w:t xml:space="preserve">(FTC) </w:t>
      </w:r>
      <w:r w:rsidRPr="0077458B">
        <w:rPr>
          <w:rFonts w:ascii="Arial" w:eastAsia="MS Mincho" w:hAnsi="Arial" w:cs="Times New Roman"/>
          <w:szCs w:val="20"/>
          <w:lang w:eastAsia="ja-JP"/>
        </w:rPr>
        <w:t>has warned numerous times against the disclosure of competitively sensitive info</w:t>
      </w:r>
      <w:r>
        <w:rPr>
          <w:rFonts w:ascii="Arial" w:eastAsia="MS Mincho" w:hAnsi="Arial" w:cs="Times New Roman"/>
          <w:szCs w:val="20"/>
          <w:lang w:eastAsia="ja-JP"/>
        </w:rPr>
        <w:t xml:space="preserve">rmation, such as payer-negotiated prices. </w:t>
      </w:r>
      <w:r w:rsidRPr="0077458B">
        <w:rPr>
          <w:rFonts w:ascii="Arial" w:eastAsia="MS Mincho" w:hAnsi="Arial" w:cs="Times New Roman"/>
          <w:szCs w:val="20"/>
          <w:lang w:eastAsia="ja-JP"/>
        </w:rPr>
        <w:t xml:space="preserve">Such disclosure can </w:t>
      </w:r>
      <w:r>
        <w:rPr>
          <w:rFonts w:ascii="Arial" w:eastAsia="MS Mincho" w:hAnsi="Arial" w:cs="Times New Roman"/>
          <w:szCs w:val="20"/>
          <w:lang w:eastAsia="ja-JP"/>
        </w:rPr>
        <w:t>“facilitate collusio</w:t>
      </w:r>
      <w:r w:rsidRPr="0077458B">
        <w:rPr>
          <w:rFonts w:ascii="Arial" w:eastAsia="MS Mincho" w:hAnsi="Arial" w:cs="Times New Roman"/>
          <w:szCs w:val="20"/>
          <w:lang w:eastAsia="ja-JP"/>
        </w:rPr>
        <w:t>n, raise price</w:t>
      </w:r>
      <w:r>
        <w:rPr>
          <w:rFonts w:ascii="Arial" w:eastAsia="MS Mincho" w:hAnsi="Arial" w:cs="Times New Roman"/>
          <w:szCs w:val="20"/>
          <w:lang w:eastAsia="ja-JP"/>
        </w:rPr>
        <w:t>s</w:t>
      </w:r>
      <w:r w:rsidRPr="0077458B">
        <w:rPr>
          <w:rFonts w:ascii="Arial" w:eastAsia="MS Mincho" w:hAnsi="Arial" w:cs="Times New Roman"/>
          <w:szCs w:val="20"/>
          <w:lang w:eastAsia="ja-JP"/>
        </w:rPr>
        <w:t xml:space="preserve"> and harm…patients….</w:t>
      </w:r>
      <w:r>
        <w:rPr>
          <w:rFonts w:ascii="Arial" w:eastAsia="MS Mincho" w:hAnsi="Arial" w:cs="Times New Roman"/>
          <w:szCs w:val="20"/>
          <w:lang w:eastAsia="ja-JP"/>
        </w:rPr>
        <w:t>”</w:t>
      </w:r>
      <w:r w:rsidRPr="0077458B">
        <w:rPr>
          <w:rStyle w:val="FootnoteReference"/>
          <w:rFonts w:ascii="Arial" w:eastAsia="MS Mincho" w:hAnsi="Arial" w:cs="Times New Roman"/>
          <w:szCs w:val="20"/>
          <w:lang w:eastAsia="ja-JP"/>
        </w:rPr>
        <w:footnoteReference w:id="9"/>
      </w:r>
      <w:r>
        <w:rPr>
          <w:rFonts w:ascii="Arial" w:eastAsia="MS Mincho" w:hAnsi="Arial" w:cs="Times New Roman"/>
          <w:szCs w:val="20"/>
          <w:lang w:eastAsia="ja-JP"/>
        </w:rPr>
        <w:t xml:space="preserve"> That warning extends explicitly to contract terms with health </w:t>
      </w:r>
      <w:r>
        <w:rPr>
          <w:rFonts w:ascii="Arial" w:eastAsia="MS Mincho" w:hAnsi="Arial" w:cs="Times New Roman"/>
          <w:szCs w:val="20"/>
          <w:lang w:eastAsia="ja-JP"/>
        </w:rPr>
        <w:lastRenderedPageBreak/>
        <w:t>plans.</w:t>
      </w:r>
      <w:r>
        <w:rPr>
          <w:rStyle w:val="FootnoteReference"/>
          <w:rFonts w:ascii="Arial" w:eastAsia="MS Mincho" w:hAnsi="Arial" w:cs="Times New Roman"/>
          <w:szCs w:val="20"/>
          <w:lang w:eastAsia="ja-JP"/>
        </w:rPr>
        <w:footnoteReference w:id="10"/>
      </w:r>
      <w:r>
        <w:rPr>
          <w:rFonts w:ascii="Arial" w:eastAsia="MS Mincho" w:hAnsi="Arial" w:cs="Times New Roman"/>
          <w:szCs w:val="20"/>
          <w:lang w:eastAsia="ja-JP"/>
        </w:rPr>
        <w:t xml:space="preserve">  The FTC has urged that transparency be limited to “predicted out-of-pocket expenses, co-pays, and quality and performance comparisons of plans or providers.”</w:t>
      </w:r>
      <w:r>
        <w:rPr>
          <w:rStyle w:val="FootnoteReference"/>
          <w:rFonts w:ascii="Arial" w:eastAsia="MS Mincho" w:hAnsi="Arial" w:cs="Times New Roman"/>
          <w:szCs w:val="20"/>
          <w:lang w:eastAsia="ja-JP"/>
        </w:rPr>
        <w:footnoteReference w:id="11"/>
      </w:r>
      <w:r>
        <w:rPr>
          <w:rFonts w:ascii="Arial" w:eastAsia="MS Mincho" w:hAnsi="Arial" w:cs="Times New Roman"/>
          <w:szCs w:val="20"/>
          <w:lang w:eastAsia="ja-JP"/>
        </w:rPr>
        <w:t xml:space="preserve">  </w:t>
      </w:r>
    </w:p>
    <w:p w14:paraId="73BB9863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7ED204B9" w14:textId="77777777" w:rsidR="005F4308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  <w:r>
        <w:rPr>
          <w:rFonts w:ascii="Arial" w:eastAsia="MS Mincho" w:hAnsi="Arial" w:cs="Times New Roman"/>
          <w:szCs w:val="20"/>
          <w:lang w:eastAsia="ja-JP"/>
        </w:rPr>
        <w:t>At least one commercial health insurer warned that disclosure of payer-specific negotiated charges would “impair the movement to value-based care” and allow “[d]</w:t>
      </w:r>
      <w:proofErr w:type="spellStart"/>
      <w:r>
        <w:rPr>
          <w:rFonts w:ascii="Arial" w:eastAsia="MS Mincho" w:hAnsi="Arial" w:cs="Times New Roman"/>
          <w:szCs w:val="20"/>
          <w:lang w:eastAsia="ja-JP"/>
        </w:rPr>
        <w:t>ominant</w:t>
      </w:r>
      <w:proofErr w:type="spellEnd"/>
      <w:r>
        <w:rPr>
          <w:rFonts w:ascii="Arial" w:eastAsia="MS Mincho" w:hAnsi="Arial" w:cs="Times New Roman"/>
          <w:szCs w:val="20"/>
          <w:lang w:eastAsia="ja-JP"/>
        </w:rPr>
        <w:t xml:space="preserve"> health plans to seek and use that information to deter and punish hospitals that lower rates or enter into value-based arrangements with the dominant plan’s competitors.”</w:t>
      </w:r>
      <w:r>
        <w:rPr>
          <w:rStyle w:val="FootnoteReference"/>
          <w:rFonts w:ascii="Arial" w:eastAsia="MS Mincho" w:hAnsi="Arial" w:cs="Times New Roman"/>
          <w:szCs w:val="20"/>
          <w:lang w:eastAsia="ja-JP"/>
        </w:rPr>
        <w:footnoteReference w:id="12"/>
      </w:r>
      <w:r>
        <w:rPr>
          <w:rFonts w:ascii="Arial" w:eastAsia="MS Mincho" w:hAnsi="Arial" w:cs="Times New Roman"/>
          <w:szCs w:val="20"/>
          <w:lang w:eastAsia="ja-JP"/>
        </w:rPr>
        <w:t xml:space="preserve">  </w:t>
      </w:r>
    </w:p>
    <w:p w14:paraId="5A0C29A9" w14:textId="77777777" w:rsidR="005F4308" w:rsidRPr="00627D86" w:rsidRDefault="005F4308" w:rsidP="005F4308">
      <w:pPr>
        <w:rPr>
          <w:rFonts w:ascii="Arial" w:eastAsia="MS Mincho" w:hAnsi="Arial" w:cs="Times New Roman"/>
          <w:szCs w:val="20"/>
          <w:lang w:eastAsia="ja-JP"/>
        </w:rPr>
      </w:pPr>
    </w:p>
    <w:p w14:paraId="1FA72D5C" w14:textId="77777777" w:rsidR="005F4308" w:rsidRPr="0071750A" w:rsidRDefault="005F4308" w:rsidP="005F4308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CMS Vastly Underestimated the Proposal’s </w:t>
      </w:r>
      <w:r w:rsidRPr="0071750A">
        <w:rPr>
          <w:rFonts w:ascii="Arial" w:hAnsi="Arial" w:cs="Arial"/>
          <w:b/>
          <w:u w:val="single"/>
        </w:rPr>
        <w:t>Operat</w:t>
      </w:r>
      <w:r>
        <w:rPr>
          <w:rFonts w:ascii="Arial" w:hAnsi="Arial" w:cs="Arial"/>
          <w:b/>
          <w:u w:val="single"/>
        </w:rPr>
        <w:t>ional Challenges</w:t>
      </w:r>
    </w:p>
    <w:p w14:paraId="6B83EAA7" w14:textId="77777777" w:rsidR="005F4308" w:rsidRDefault="005F4308" w:rsidP="005F4308">
      <w:pPr>
        <w:rPr>
          <w:rFonts w:ascii="Arial" w:hAnsi="Arial" w:cs="Arial"/>
        </w:rPr>
      </w:pPr>
      <w:r>
        <w:rPr>
          <w:rFonts w:ascii="Arial" w:hAnsi="Arial" w:cs="Arial"/>
        </w:rPr>
        <w:t>In addition to our legal and public policy concerns, we have significant operational concerns with this proposal. This</w:t>
      </w:r>
      <w:r w:rsidRPr="008D14C1">
        <w:rPr>
          <w:rFonts w:ascii="Arial" w:hAnsi="Arial" w:cs="Arial"/>
        </w:rPr>
        <w:t xml:space="preserve"> proposal, </w:t>
      </w:r>
      <w:r>
        <w:rPr>
          <w:rFonts w:ascii="Arial" w:hAnsi="Arial" w:cs="Arial"/>
        </w:rPr>
        <w:t>if finalized,</w:t>
      </w:r>
      <w:r w:rsidRPr="008D14C1">
        <w:rPr>
          <w:rFonts w:ascii="Arial" w:hAnsi="Arial" w:cs="Arial"/>
        </w:rPr>
        <w:t xml:space="preserve"> would pose excessive burden on hospitals and health systems – far exceeding CMS’s estimate of 12 hours. </w:t>
      </w:r>
    </w:p>
    <w:p w14:paraId="3ECDE667" w14:textId="77777777" w:rsidR="005F4308" w:rsidRDefault="005F4308" w:rsidP="005F4308">
      <w:pPr>
        <w:rPr>
          <w:rFonts w:ascii="Arial" w:hAnsi="Arial" w:cs="Arial"/>
        </w:rPr>
      </w:pPr>
    </w:p>
    <w:p w14:paraId="7C0CE03F" w14:textId="77777777" w:rsidR="005F4308" w:rsidRPr="00FF7A07" w:rsidRDefault="005F4308" w:rsidP="005F4308">
      <w:pPr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highlight w:val="yellow"/>
        </w:rPr>
        <w:t>[</w:t>
      </w:r>
      <w:r w:rsidRPr="00FF7A07">
        <w:rPr>
          <w:rFonts w:ascii="Arial" w:hAnsi="Arial" w:cs="Arial"/>
          <w:i/>
          <w:highlight w:val="yellow"/>
        </w:rPr>
        <w:t>INCLUDE INFORMATION ON THE EXPECTED BURDEN FOR YOUR HOSPITAL/HEALTH SYSTEM. POINTS THAT YOU COULD MENTION INCLUDE:</w:t>
      </w:r>
    </w:p>
    <w:p w14:paraId="1503C122" w14:textId="77777777" w:rsidR="005F4308" w:rsidRPr="00FF7A07" w:rsidRDefault="005F4308" w:rsidP="005F43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How long it took your facility to comply with the January 1, 2019 requirement. (Including information on why this proposal would be more complicated.)</w:t>
      </w:r>
    </w:p>
    <w:p w14:paraId="4C14ECB9" w14:textId="77777777" w:rsidR="005F4308" w:rsidRPr="00FF7A07" w:rsidRDefault="005F4308" w:rsidP="005F43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How many FTEs you estimate that this proposal requires to implement.</w:t>
      </w:r>
    </w:p>
    <w:p w14:paraId="59CA57F6" w14:textId="77777777" w:rsidR="005F4308" w:rsidRPr="00FF7A07" w:rsidRDefault="005F4308" w:rsidP="005F43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The technology and vendors you would need to acquire or contract with.</w:t>
      </w:r>
    </w:p>
    <w:p w14:paraId="429D61A4" w14:textId="77777777" w:rsidR="005F4308" w:rsidRPr="00FF7A07" w:rsidRDefault="005F4308" w:rsidP="005F43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 xml:space="preserve">How your organization plan to approach developing the required spreadsheet and how large do you expect it to be. </w:t>
      </w:r>
    </w:p>
    <w:p w14:paraId="2AB7B249" w14:textId="77777777" w:rsidR="005F4308" w:rsidRPr="00FF7A07" w:rsidRDefault="005F4308" w:rsidP="005F4308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Number of contracts that you have.</w:t>
      </w:r>
    </w:p>
    <w:p w14:paraId="643F6EF6" w14:textId="77777777" w:rsidR="005F4308" w:rsidRPr="00FF7A07" w:rsidRDefault="005F4308" w:rsidP="005F4308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 xml:space="preserve">Number of lines in your chargemaster already and how much larger you expect this file to be. </w:t>
      </w:r>
    </w:p>
    <w:p w14:paraId="7090C867" w14:textId="77777777" w:rsidR="005F4308" w:rsidRPr="00FF7A07" w:rsidRDefault="005F4308" w:rsidP="005F43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What your organization would need in terms of building a consumer friendly website.</w:t>
      </w:r>
    </w:p>
    <w:p w14:paraId="7D650CFA" w14:textId="77777777" w:rsidR="005F4308" w:rsidRPr="00FF7A07" w:rsidRDefault="005F4308" w:rsidP="005F43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What your organization is already doing to assist patients in accessing estimates of their out-of-pocket costs.</w:t>
      </w:r>
    </w:p>
    <w:p w14:paraId="28AFD2E0" w14:textId="77777777" w:rsidR="005F4308" w:rsidRPr="00FF7A07" w:rsidRDefault="005F4308" w:rsidP="005F4308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 xml:space="preserve">The level of effort required to implement and maintain your existing tool/resource.  </w:t>
      </w:r>
    </w:p>
    <w:p w14:paraId="7C399F2F" w14:textId="77777777" w:rsidR="005F4308" w:rsidRPr="00FF7A07" w:rsidRDefault="005F4308" w:rsidP="005F4308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i/>
          <w:highlight w:val="yellow"/>
        </w:rPr>
      </w:pPr>
      <w:r w:rsidRPr="00FF7A07">
        <w:rPr>
          <w:rFonts w:ascii="Arial" w:hAnsi="Arial" w:cs="Arial"/>
          <w:i/>
          <w:highlight w:val="yellow"/>
        </w:rPr>
        <w:t>How this proposal would affect your ability to maintain your tool/resource.]</w:t>
      </w:r>
    </w:p>
    <w:p w14:paraId="499CB6AD" w14:textId="77777777" w:rsidR="005F4308" w:rsidRDefault="005F4308" w:rsidP="005F4308">
      <w:pPr>
        <w:rPr>
          <w:rFonts w:ascii="Arial" w:hAnsi="Arial" w:cs="Arial"/>
        </w:rPr>
      </w:pPr>
    </w:p>
    <w:p w14:paraId="1C18D434" w14:textId="77777777" w:rsidR="005F4308" w:rsidRPr="008D14C1" w:rsidRDefault="005F4308" w:rsidP="005F4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summary, CMS’s proposed approach </w:t>
      </w:r>
      <w:r w:rsidRPr="008D14C1">
        <w:rPr>
          <w:rFonts w:ascii="Arial" w:hAnsi="Arial" w:cs="Arial"/>
        </w:rPr>
        <w:t xml:space="preserve">would not </w:t>
      </w:r>
      <w:r>
        <w:rPr>
          <w:rFonts w:ascii="Arial" w:hAnsi="Arial" w:cs="Arial"/>
        </w:rPr>
        <w:t>give</w:t>
      </w:r>
      <w:r w:rsidRPr="008D14C1">
        <w:rPr>
          <w:rFonts w:ascii="Arial" w:hAnsi="Arial" w:cs="Arial"/>
        </w:rPr>
        <w:t xml:space="preserve"> patients </w:t>
      </w:r>
      <w:r>
        <w:rPr>
          <w:rFonts w:ascii="Arial" w:hAnsi="Arial" w:cs="Arial"/>
        </w:rPr>
        <w:t>the information they need to make</w:t>
      </w:r>
      <w:r w:rsidRPr="008D14C1">
        <w:rPr>
          <w:rFonts w:ascii="Arial" w:hAnsi="Arial" w:cs="Arial"/>
        </w:rPr>
        <w:t xml:space="preserve"> informed health decisions</w:t>
      </w:r>
      <w:r>
        <w:rPr>
          <w:rFonts w:ascii="Arial" w:hAnsi="Arial" w:cs="Arial"/>
        </w:rPr>
        <w:t xml:space="preserve">, yet would </w:t>
      </w:r>
      <w:r w:rsidRPr="008D14C1">
        <w:rPr>
          <w:rFonts w:ascii="Arial" w:hAnsi="Arial" w:cs="Arial"/>
        </w:rPr>
        <w:t>introduc</w:t>
      </w:r>
      <w:r>
        <w:rPr>
          <w:rFonts w:ascii="Arial" w:hAnsi="Arial" w:cs="Arial"/>
        </w:rPr>
        <w:t xml:space="preserve">e </w:t>
      </w:r>
      <w:r w:rsidRPr="008D14C1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 xml:space="preserve">additional </w:t>
      </w:r>
      <w:r w:rsidRPr="008D14C1">
        <w:rPr>
          <w:rFonts w:ascii="Arial" w:hAnsi="Arial" w:cs="Arial"/>
        </w:rPr>
        <w:t xml:space="preserve">burden </w:t>
      </w:r>
      <w:r>
        <w:rPr>
          <w:rFonts w:ascii="Arial" w:hAnsi="Arial" w:cs="Arial"/>
        </w:rPr>
        <w:t>and resource requirements into the health care system. For all of this effort, we anticipate that patients will not use this information; instead they will continue to contact hospitals and health systems directly for more accurate out-of-pocket cost estimates.</w:t>
      </w:r>
      <w:r w:rsidRPr="008D14C1">
        <w:rPr>
          <w:rFonts w:ascii="Arial" w:hAnsi="Arial" w:cs="Arial"/>
        </w:rPr>
        <w:t xml:space="preserve"> </w:t>
      </w:r>
    </w:p>
    <w:p w14:paraId="7F91A20F" w14:textId="77777777" w:rsidR="005F4308" w:rsidRPr="008D14C1" w:rsidRDefault="005F4308" w:rsidP="005F4308">
      <w:pPr>
        <w:rPr>
          <w:rFonts w:ascii="Arial" w:hAnsi="Arial" w:cs="Arial"/>
        </w:rPr>
      </w:pPr>
    </w:p>
    <w:p w14:paraId="11030B1E" w14:textId="77777777" w:rsidR="005F4308" w:rsidRPr="00173E70" w:rsidRDefault="005F4308" w:rsidP="005F4308">
      <w:pPr>
        <w:rPr>
          <w:rFonts w:ascii="Arial" w:hAnsi="Arial"/>
          <w:bCs/>
          <w:szCs w:val="44"/>
        </w:rPr>
      </w:pPr>
    </w:p>
    <w:p w14:paraId="3CCE4681" w14:textId="77777777" w:rsidR="00D31E52" w:rsidRDefault="00D31E52"/>
    <w:sectPr w:rsidR="00D31E52" w:rsidSect="003C2397">
      <w:footerReference w:type="default" r:id="rId7"/>
      <w:pgSz w:w="12240" w:h="15840"/>
      <w:pgMar w:top="1440" w:right="1440" w:bottom="907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9E50" w14:textId="77777777" w:rsidR="00D62786" w:rsidRDefault="00D62786" w:rsidP="005F4308">
      <w:r>
        <w:separator/>
      </w:r>
    </w:p>
  </w:endnote>
  <w:endnote w:type="continuationSeparator" w:id="0">
    <w:p w14:paraId="2C3A60E5" w14:textId="77777777" w:rsidR="00D62786" w:rsidRDefault="00D62786" w:rsidP="005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0BCC" w14:textId="77777777" w:rsidR="003C2397" w:rsidRDefault="008B6ADE" w:rsidP="00E7023D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9D14" w14:textId="77777777" w:rsidR="00D62786" w:rsidRDefault="00D62786" w:rsidP="005F4308">
      <w:r>
        <w:separator/>
      </w:r>
    </w:p>
  </w:footnote>
  <w:footnote w:type="continuationSeparator" w:id="0">
    <w:p w14:paraId="70F78BA7" w14:textId="77777777" w:rsidR="00D62786" w:rsidRDefault="00D62786" w:rsidP="005F4308">
      <w:r>
        <w:continuationSeparator/>
      </w:r>
    </w:p>
  </w:footnote>
  <w:footnote w:id="1">
    <w:p w14:paraId="7451A436" w14:textId="77777777" w:rsidR="005F4308" w:rsidRPr="00256591" w:rsidRDefault="005F4308" w:rsidP="005F4308">
      <w:pPr>
        <w:pStyle w:val="FootnoteText"/>
        <w:rPr>
          <w:rFonts w:ascii="Arial" w:hAnsi="Arial"/>
        </w:rPr>
      </w:pPr>
      <w:r w:rsidRPr="00256591">
        <w:rPr>
          <w:rStyle w:val="FootnoteReference"/>
          <w:rFonts w:ascii="Arial" w:hAnsi="Arial"/>
        </w:rPr>
        <w:footnoteRef/>
      </w:r>
      <w:r w:rsidRPr="00256591">
        <w:rPr>
          <w:rFonts w:ascii="Arial" w:hAnsi="Arial"/>
        </w:rPr>
        <w:t xml:space="preserve"> </w:t>
      </w:r>
      <w:r w:rsidRPr="00256591">
        <w:rPr>
          <w:rFonts w:ascii="Arial" w:hAnsi="Arial"/>
          <w:i/>
        </w:rPr>
        <w:t xml:space="preserve">See, e.g., </w:t>
      </w:r>
      <w:hyperlink r:id="rId1" w:history="1">
        <w:r w:rsidRPr="00256591">
          <w:rPr>
            <w:rStyle w:val="Hyperlink"/>
            <w:rFonts w:ascii="Arial" w:hAnsi="Arial"/>
          </w:rPr>
          <w:t>https://www.dictionary.com/browse/standard</w:t>
        </w:r>
      </w:hyperlink>
      <w:r w:rsidRPr="00256591">
        <w:rPr>
          <w:rFonts w:ascii="Arial" w:hAnsi="Arial"/>
        </w:rPr>
        <w:t>.</w:t>
      </w:r>
    </w:p>
  </w:footnote>
  <w:footnote w:id="2">
    <w:p w14:paraId="7B159749" w14:textId="77777777" w:rsidR="005F4308" w:rsidRPr="00045486" w:rsidRDefault="005F4308" w:rsidP="005F4308">
      <w:pPr>
        <w:pStyle w:val="FootnoteText"/>
        <w:rPr>
          <w:rFonts w:ascii="Arial" w:hAnsi="Arial" w:cs="Arial"/>
        </w:rPr>
      </w:pPr>
      <w:r w:rsidRPr="00045486">
        <w:rPr>
          <w:rStyle w:val="FootnoteReference"/>
          <w:rFonts w:ascii="Arial" w:hAnsi="Arial" w:cs="Arial"/>
        </w:rPr>
        <w:footnoteRef/>
      </w:r>
      <w:r w:rsidRPr="00045486">
        <w:rPr>
          <w:rFonts w:ascii="Arial" w:hAnsi="Arial" w:cs="Arial"/>
        </w:rPr>
        <w:t xml:space="preserve"> Provider Reimbursement Manual, </w:t>
      </w:r>
      <w:r>
        <w:rPr>
          <w:rFonts w:ascii="Arial" w:hAnsi="Arial" w:cs="Arial"/>
        </w:rPr>
        <w:t xml:space="preserve">No 15-1, </w:t>
      </w:r>
      <w:proofErr w:type="spellStart"/>
      <w:r w:rsidRPr="00045486">
        <w:rPr>
          <w:rFonts w:ascii="Arial" w:hAnsi="Arial" w:cs="Arial"/>
        </w:rPr>
        <w:t>ch.</w:t>
      </w:r>
      <w:proofErr w:type="spellEnd"/>
      <w:r w:rsidRPr="00045486">
        <w:rPr>
          <w:rFonts w:ascii="Arial" w:hAnsi="Arial" w:cs="Arial"/>
        </w:rPr>
        <w:t xml:space="preserve"> 22, § 2202.4.</w:t>
      </w:r>
      <w:r>
        <w:rPr>
          <w:rFonts w:ascii="Arial" w:hAnsi="Arial" w:cs="Arial"/>
        </w:rPr>
        <w:t xml:space="preserve"> (Emphasis added.)</w:t>
      </w:r>
    </w:p>
  </w:footnote>
  <w:footnote w:id="3">
    <w:p w14:paraId="0659CC7A" w14:textId="77777777" w:rsidR="005F4308" w:rsidRPr="00256591" w:rsidRDefault="005F4308" w:rsidP="005F4308">
      <w:pPr>
        <w:pStyle w:val="FootnoteText"/>
        <w:rPr>
          <w:rFonts w:ascii="Arial" w:hAnsi="Arial"/>
        </w:rPr>
      </w:pPr>
      <w:r w:rsidRPr="00256591">
        <w:rPr>
          <w:rStyle w:val="FootnoteReference"/>
          <w:rFonts w:ascii="Arial" w:hAnsi="Arial"/>
        </w:rPr>
        <w:footnoteRef/>
      </w:r>
      <w:r w:rsidRPr="00256591">
        <w:rPr>
          <w:rFonts w:ascii="Arial" w:hAnsi="Arial"/>
        </w:rPr>
        <w:t xml:space="preserve"> </w:t>
      </w:r>
      <w:r w:rsidRPr="00256591">
        <w:rPr>
          <w:rFonts w:ascii="Arial" w:hAnsi="Arial"/>
          <w:i/>
        </w:rPr>
        <w:t xml:space="preserve">See, e.g., </w:t>
      </w:r>
      <w:r w:rsidRPr="00256591">
        <w:rPr>
          <w:rFonts w:ascii="Arial" w:hAnsi="Arial"/>
        </w:rPr>
        <w:t>84 Fed. Reg. 39,175, 39,577 (Aug. 9, 2019).</w:t>
      </w:r>
    </w:p>
  </w:footnote>
  <w:footnote w:id="4">
    <w:p w14:paraId="3E0608A9" w14:textId="77777777" w:rsidR="005F4308" w:rsidRPr="00256591" w:rsidRDefault="005F4308" w:rsidP="005F4308">
      <w:pPr>
        <w:pStyle w:val="FootnoteText"/>
        <w:rPr>
          <w:rFonts w:ascii="Arial" w:hAnsi="Arial"/>
        </w:rPr>
      </w:pPr>
      <w:r w:rsidRPr="00256591">
        <w:rPr>
          <w:rStyle w:val="FootnoteReference"/>
          <w:rFonts w:ascii="Arial" w:hAnsi="Arial"/>
        </w:rPr>
        <w:footnoteRef/>
      </w:r>
      <w:r w:rsidRPr="00256591">
        <w:rPr>
          <w:rFonts w:ascii="Arial" w:hAnsi="Arial"/>
        </w:rPr>
        <w:t xml:space="preserve"> </w:t>
      </w:r>
      <w:r w:rsidRPr="00256591">
        <w:rPr>
          <w:rFonts w:ascii="Arial" w:hAnsi="Arial"/>
          <w:i/>
        </w:rPr>
        <w:t>Central Hudson Gas &amp; Electric Corp. v. Public Service Comm’n of New York</w:t>
      </w:r>
      <w:r w:rsidRPr="00256591">
        <w:rPr>
          <w:rFonts w:ascii="Arial" w:hAnsi="Arial"/>
        </w:rPr>
        <w:t>, 447 U.S. 557, 566 (1980).</w:t>
      </w:r>
      <w:r>
        <w:rPr>
          <w:rFonts w:ascii="Arial" w:hAnsi="Arial"/>
        </w:rPr>
        <w:t xml:space="preserve"> </w:t>
      </w:r>
      <w:r w:rsidRPr="00256591">
        <w:rPr>
          <w:rFonts w:ascii="Arial" w:hAnsi="Arial"/>
        </w:rPr>
        <w:t xml:space="preserve">The agency has failed to identify a sufficient predicate to justify the application of </w:t>
      </w:r>
      <w:proofErr w:type="spellStart"/>
      <w:r w:rsidRPr="00256591">
        <w:rPr>
          <w:rFonts w:ascii="Arial" w:hAnsi="Arial"/>
          <w:i/>
        </w:rPr>
        <w:t>Zauderer</w:t>
      </w:r>
      <w:proofErr w:type="spellEnd"/>
      <w:r w:rsidRPr="00256591">
        <w:rPr>
          <w:rFonts w:ascii="Arial" w:hAnsi="Arial"/>
          <w:i/>
        </w:rPr>
        <w:t xml:space="preserve"> v. Office of Disciplinary Counsel of Supreme Court of Ohio</w:t>
      </w:r>
      <w:r w:rsidRPr="00256591">
        <w:rPr>
          <w:rFonts w:ascii="Arial" w:hAnsi="Arial"/>
        </w:rPr>
        <w:t>, 471 U.S. 626 (1985) to the facts presented here.</w:t>
      </w:r>
      <w:r>
        <w:rPr>
          <w:rFonts w:ascii="Arial" w:hAnsi="Arial"/>
        </w:rPr>
        <w:t xml:space="preserve"> </w:t>
      </w:r>
      <w:r w:rsidRPr="00256591">
        <w:rPr>
          <w:rFonts w:ascii="Arial" w:hAnsi="Arial"/>
        </w:rPr>
        <w:t>But the regulation fails under either test.</w:t>
      </w:r>
      <w:r>
        <w:rPr>
          <w:rFonts w:ascii="Arial" w:hAnsi="Arial"/>
        </w:rPr>
        <w:t xml:space="preserve"> </w:t>
      </w:r>
      <w:r w:rsidRPr="00256591">
        <w:rPr>
          <w:rFonts w:ascii="Arial" w:hAnsi="Arial"/>
        </w:rPr>
        <w:t xml:space="preserve">Even under </w:t>
      </w:r>
      <w:proofErr w:type="spellStart"/>
      <w:r w:rsidRPr="00256591">
        <w:rPr>
          <w:rFonts w:ascii="Arial" w:hAnsi="Arial"/>
          <w:i/>
        </w:rPr>
        <w:t>Zauderer</w:t>
      </w:r>
      <w:proofErr w:type="spellEnd"/>
      <w:r w:rsidRPr="00256591">
        <w:rPr>
          <w:rFonts w:ascii="Arial" w:hAnsi="Arial"/>
          <w:i/>
        </w:rPr>
        <w:t>,</w:t>
      </w:r>
      <w:r w:rsidRPr="00256591">
        <w:rPr>
          <w:rFonts w:ascii="Arial" w:hAnsi="Arial"/>
        </w:rPr>
        <w:t xml:space="preserve"> a disclosure requirement cannot be “unjustified or unduly burdensome.”</w:t>
      </w:r>
      <w:r>
        <w:rPr>
          <w:rFonts w:ascii="Arial" w:hAnsi="Arial"/>
        </w:rPr>
        <w:t xml:space="preserve"> </w:t>
      </w:r>
      <w:r w:rsidRPr="00256591">
        <w:rPr>
          <w:rFonts w:ascii="Arial" w:hAnsi="Arial"/>
          <w:i/>
        </w:rPr>
        <w:t>Id.</w:t>
      </w:r>
      <w:r w:rsidRPr="00256591">
        <w:rPr>
          <w:rFonts w:ascii="Arial" w:hAnsi="Arial"/>
        </w:rPr>
        <w:t xml:space="preserve"> at 651.</w:t>
      </w:r>
    </w:p>
  </w:footnote>
  <w:footnote w:id="5">
    <w:p w14:paraId="088718E9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</w:t>
      </w:r>
      <w:r w:rsidRPr="00825FFC">
        <w:rPr>
          <w:rFonts w:ascii="Arial" w:hAnsi="Arial" w:cs="Arial"/>
          <w:i/>
        </w:rPr>
        <w:t>See id</w:t>
      </w:r>
      <w:r w:rsidRPr="00825FFC">
        <w:rPr>
          <w:rFonts w:ascii="Arial" w:hAnsi="Arial" w:cs="Arial"/>
        </w:rPr>
        <w:t xml:space="preserve">. at 39,574, 39,585, 39611. </w:t>
      </w:r>
    </w:p>
  </w:footnote>
  <w:footnote w:id="6">
    <w:p w14:paraId="41D34A22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</w:t>
      </w:r>
      <w:r w:rsidRPr="00825FFC">
        <w:rPr>
          <w:rFonts w:ascii="Arial" w:hAnsi="Arial" w:cs="Arial"/>
          <w:i/>
        </w:rPr>
        <w:t>See</w:t>
      </w:r>
      <w:r w:rsidRPr="00825FFC">
        <w:rPr>
          <w:rFonts w:ascii="Arial" w:hAnsi="Arial" w:cs="Arial"/>
        </w:rPr>
        <w:t xml:space="preserve"> </w:t>
      </w:r>
      <w:r w:rsidRPr="00825FFC">
        <w:rPr>
          <w:rFonts w:ascii="Arial" w:hAnsi="Arial" w:cs="Arial"/>
          <w:i/>
        </w:rPr>
        <w:t>West Penn Allegheny Health Sys., Inc. v. UPMC</w:t>
      </w:r>
      <w:r w:rsidRPr="00825FFC">
        <w:rPr>
          <w:rFonts w:ascii="Arial" w:hAnsi="Arial" w:cs="Arial"/>
        </w:rPr>
        <w:t>, 2013 WL 121441532 (W.D. Pa. Sept. 16, 2013) (“[</w:t>
      </w:r>
      <w:proofErr w:type="spellStart"/>
      <w:r w:rsidRPr="00825FFC">
        <w:rPr>
          <w:rFonts w:ascii="Arial" w:hAnsi="Arial" w:cs="Arial"/>
        </w:rPr>
        <w:t>i</w:t>
      </w:r>
      <w:proofErr w:type="spellEnd"/>
      <w:r w:rsidRPr="00825FFC">
        <w:rPr>
          <w:rFonts w:ascii="Arial" w:hAnsi="Arial" w:cs="Arial"/>
        </w:rPr>
        <w:t>]</w:t>
      </w:r>
      <w:proofErr w:type="spellStart"/>
      <w:r w:rsidRPr="00825FFC">
        <w:rPr>
          <w:rFonts w:ascii="Arial" w:hAnsi="Arial" w:cs="Arial"/>
        </w:rPr>
        <w:t>nformation</w:t>
      </w:r>
      <w:proofErr w:type="spellEnd"/>
      <w:r w:rsidRPr="00825FFC">
        <w:rPr>
          <w:rFonts w:ascii="Arial" w:hAnsi="Arial" w:cs="Arial"/>
        </w:rPr>
        <w:t xml:space="preserve"> regarding pricing and rates constitutes trade secret information”).</w:t>
      </w:r>
    </w:p>
  </w:footnote>
  <w:footnote w:id="7">
    <w:p w14:paraId="61CFC9A0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18 U.S.C. § 1836.</w:t>
      </w:r>
    </w:p>
  </w:footnote>
  <w:footnote w:id="8">
    <w:p w14:paraId="7B76DFB4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</w:t>
      </w:r>
      <w:r w:rsidRPr="00825FFC">
        <w:rPr>
          <w:rFonts w:ascii="Arial" w:hAnsi="Arial" w:cs="Arial"/>
          <w:i/>
        </w:rPr>
        <w:t>Central Hudson Gas &amp; Electric Corp. v. Public Service Comm’n of New York</w:t>
      </w:r>
      <w:r w:rsidRPr="00825FFC">
        <w:rPr>
          <w:rFonts w:ascii="Arial" w:hAnsi="Arial" w:cs="Arial"/>
        </w:rPr>
        <w:t xml:space="preserve">, 447 U.S. 557, 570 (1980). </w:t>
      </w:r>
    </w:p>
  </w:footnote>
  <w:footnote w:id="9">
    <w:p w14:paraId="1A7101C4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FTC Letter to the Hon. Nellie </w:t>
      </w:r>
      <w:proofErr w:type="spellStart"/>
      <w:r w:rsidRPr="00825FFC">
        <w:rPr>
          <w:rFonts w:ascii="Arial" w:hAnsi="Arial" w:cs="Arial"/>
        </w:rPr>
        <w:t>Pou</w:t>
      </w:r>
      <w:proofErr w:type="spellEnd"/>
      <w:r w:rsidRPr="00825FFC">
        <w:rPr>
          <w:rFonts w:ascii="Arial" w:hAnsi="Arial" w:cs="Arial"/>
        </w:rPr>
        <w:t>, April 17, 2001.</w:t>
      </w:r>
    </w:p>
  </w:footnote>
  <w:footnote w:id="10">
    <w:p w14:paraId="7C5D7BF7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FTC Letter to Hons Joe Hoppe and Melissa </w:t>
      </w:r>
      <w:proofErr w:type="spellStart"/>
      <w:r w:rsidRPr="00825FFC">
        <w:rPr>
          <w:rFonts w:ascii="Arial" w:hAnsi="Arial" w:cs="Arial"/>
        </w:rPr>
        <w:t>Hortman</w:t>
      </w:r>
      <w:proofErr w:type="spellEnd"/>
      <w:r w:rsidRPr="00825FFC">
        <w:rPr>
          <w:rFonts w:ascii="Arial" w:hAnsi="Arial" w:cs="Arial"/>
        </w:rPr>
        <w:t xml:space="preserve">, June 29, 2015. </w:t>
      </w:r>
    </w:p>
  </w:footnote>
  <w:footnote w:id="11">
    <w:p w14:paraId="2969A2AD" w14:textId="77777777" w:rsidR="005F4308" w:rsidRDefault="005F4308" w:rsidP="005F4308">
      <w:pPr>
        <w:pStyle w:val="FootnoteText"/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Id.</w:t>
      </w:r>
      <w:r>
        <w:t xml:space="preserve"> </w:t>
      </w:r>
    </w:p>
  </w:footnote>
  <w:footnote w:id="12">
    <w:p w14:paraId="549288B5" w14:textId="77777777" w:rsidR="005F4308" w:rsidRPr="00825FFC" w:rsidRDefault="005F4308" w:rsidP="005F4308">
      <w:pPr>
        <w:pStyle w:val="FootnoteText"/>
        <w:rPr>
          <w:rFonts w:ascii="Arial" w:hAnsi="Arial" w:cs="Arial"/>
        </w:rPr>
      </w:pPr>
      <w:r w:rsidRPr="00825FFC">
        <w:rPr>
          <w:rStyle w:val="FootnoteReference"/>
          <w:rFonts w:ascii="Arial" w:hAnsi="Arial" w:cs="Arial"/>
        </w:rPr>
        <w:footnoteRef/>
      </w:r>
      <w:r w:rsidRPr="00825FFC">
        <w:rPr>
          <w:rFonts w:ascii="Arial" w:hAnsi="Arial" w:cs="Arial"/>
        </w:rPr>
        <w:t xml:space="preserve"> UnitedHealth Group Comments on Re: RIN 0955-AAOI, 21</w:t>
      </w:r>
      <w:r w:rsidRPr="00825FFC">
        <w:rPr>
          <w:rFonts w:ascii="Arial" w:hAnsi="Arial" w:cs="Arial"/>
          <w:vertAlign w:val="superscript"/>
        </w:rPr>
        <w:t>st</w:t>
      </w:r>
      <w:r w:rsidRPr="00825FFC">
        <w:rPr>
          <w:rFonts w:ascii="Arial" w:hAnsi="Arial" w:cs="Arial"/>
        </w:rPr>
        <w:t xml:space="preserve"> Century Cures Act, Proposed Rule, June 3, 2019.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7FF"/>
    <w:multiLevelType w:val="hybridMultilevel"/>
    <w:tmpl w:val="DEF2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08"/>
    <w:rsid w:val="00184B92"/>
    <w:rsid w:val="005F4308"/>
    <w:rsid w:val="008B6ADE"/>
    <w:rsid w:val="00D31E52"/>
    <w:rsid w:val="00D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E28"/>
  <w15:chartTrackingRefBased/>
  <w15:docId w15:val="{C915E42B-FA7E-4516-AB10-4360C70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08"/>
    <w:pPr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08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F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08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F4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30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308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ctionary.com/browse/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Peter</dc:creator>
  <cp:keywords/>
  <dc:description/>
  <cp:lastModifiedBy>Nicole Hoffman</cp:lastModifiedBy>
  <cp:revision>2</cp:revision>
  <dcterms:created xsi:type="dcterms:W3CDTF">2019-09-18T16:22:00Z</dcterms:created>
  <dcterms:modified xsi:type="dcterms:W3CDTF">2019-09-18T16:22:00Z</dcterms:modified>
</cp:coreProperties>
</file>