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CC40F" w14:textId="77777777" w:rsidR="002B170C" w:rsidRPr="00C17C50" w:rsidRDefault="00A43986" w:rsidP="002B170C">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 </w:t>
      </w:r>
      <w:r w:rsidR="002B170C" w:rsidRPr="00C17C50">
        <w:rPr>
          <w:rFonts w:asciiTheme="minorHAnsi" w:hAnsiTheme="minorHAnsi" w:cstheme="minorHAnsi"/>
          <w:sz w:val="22"/>
          <w:szCs w:val="22"/>
        </w:rPr>
        <w:t xml:space="preserve">June 24, 2019 </w:t>
      </w:r>
    </w:p>
    <w:p w14:paraId="3D1A7C1E" w14:textId="77777777" w:rsidR="002B170C" w:rsidRPr="00C17C50" w:rsidRDefault="002B170C" w:rsidP="002B170C">
      <w:pPr>
        <w:pStyle w:val="Default"/>
        <w:rPr>
          <w:rFonts w:asciiTheme="minorHAnsi" w:hAnsiTheme="minorHAnsi" w:cstheme="minorHAnsi"/>
          <w:sz w:val="22"/>
          <w:szCs w:val="22"/>
        </w:rPr>
      </w:pPr>
    </w:p>
    <w:p w14:paraId="3C1870BA" w14:textId="77777777" w:rsidR="002B170C" w:rsidRPr="00C17C50" w:rsidRDefault="002B170C" w:rsidP="002B170C">
      <w:pPr>
        <w:pStyle w:val="Default"/>
        <w:rPr>
          <w:rFonts w:asciiTheme="minorHAnsi" w:hAnsiTheme="minorHAnsi" w:cstheme="minorHAnsi"/>
          <w:sz w:val="22"/>
          <w:szCs w:val="22"/>
        </w:rPr>
      </w:pPr>
    </w:p>
    <w:p w14:paraId="10A963A5" w14:textId="77777777" w:rsidR="002B170C" w:rsidRPr="00C17C50" w:rsidRDefault="002B170C" w:rsidP="002B170C">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Seema Verma </w:t>
      </w:r>
    </w:p>
    <w:p w14:paraId="4D605CC6" w14:textId="77777777" w:rsidR="002B170C" w:rsidRPr="00C17C50" w:rsidRDefault="002B170C" w:rsidP="002B170C">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Administrator </w:t>
      </w:r>
    </w:p>
    <w:p w14:paraId="04D3FBBD" w14:textId="77777777" w:rsidR="002B170C" w:rsidRPr="00C17C50" w:rsidRDefault="002B170C" w:rsidP="002B170C">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Centers for Medicare &amp; Medicaid Services </w:t>
      </w:r>
    </w:p>
    <w:p w14:paraId="536D3309" w14:textId="77777777" w:rsidR="002B170C" w:rsidRPr="00C17C50" w:rsidRDefault="002B170C" w:rsidP="002B170C">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Hubert H. Humphrey Building </w:t>
      </w:r>
    </w:p>
    <w:p w14:paraId="1F4BD503" w14:textId="77777777" w:rsidR="002B170C" w:rsidRPr="00C17C50" w:rsidRDefault="002B170C" w:rsidP="002B170C">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200 Independence Avenue, S.W., Room 314-G </w:t>
      </w:r>
    </w:p>
    <w:p w14:paraId="3B37876B" w14:textId="77777777" w:rsidR="002B170C" w:rsidRPr="00C17C50" w:rsidRDefault="002B170C" w:rsidP="002B170C">
      <w:pPr>
        <w:pStyle w:val="Default"/>
        <w:rPr>
          <w:rFonts w:asciiTheme="minorHAnsi" w:hAnsiTheme="minorHAnsi" w:cstheme="minorHAnsi"/>
          <w:sz w:val="22"/>
          <w:szCs w:val="22"/>
        </w:rPr>
      </w:pPr>
      <w:r w:rsidRPr="00C17C50">
        <w:rPr>
          <w:rFonts w:asciiTheme="minorHAnsi" w:hAnsiTheme="minorHAnsi" w:cstheme="minorHAnsi"/>
          <w:sz w:val="22"/>
          <w:szCs w:val="22"/>
        </w:rPr>
        <w:t>Washington, D.C. 20201</w:t>
      </w:r>
    </w:p>
    <w:p w14:paraId="5C52D79B" w14:textId="77777777" w:rsidR="002B170C" w:rsidRPr="00C17C50" w:rsidRDefault="002B170C" w:rsidP="002B170C">
      <w:pPr>
        <w:pStyle w:val="Default"/>
        <w:rPr>
          <w:rFonts w:asciiTheme="minorHAnsi" w:hAnsiTheme="minorHAnsi" w:cstheme="minorHAnsi"/>
          <w:sz w:val="22"/>
          <w:szCs w:val="22"/>
        </w:rPr>
      </w:pPr>
    </w:p>
    <w:p w14:paraId="712636F0" w14:textId="219DE245" w:rsidR="002B170C" w:rsidRPr="00C17C50" w:rsidRDefault="002B170C" w:rsidP="002B170C">
      <w:pPr>
        <w:autoSpaceDE w:val="0"/>
        <w:autoSpaceDN w:val="0"/>
        <w:adjustRightInd w:val="0"/>
        <w:spacing w:after="0" w:line="240" w:lineRule="auto"/>
        <w:rPr>
          <w:rFonts w:cstheme="minorHAnsi"/>
          <w:b/>
          <w:bCs/>
          <w:i/>
        </w:rPr>
      </w:pPr>
      <w:r w:rsidRPr="00C17C50">
        <w:rPr>
          <w:rFonts w:cstheme="minorHAnsi"/>
          <w:b/>
          <w:bCs/>
          <w:i/>
          <w:iCs/>
        </w:rPr>
        <w:t xml:space="preserve">SUBJECT: </w:t>
      </w:r>
      <w:r w:rsidR="00660763" w:rsidRPr="00C17C50">
        <w:rPr>
          <w:rFonts w:cstheme="minorHAnsi"/>
          <w:b/>
          <w:bCs/>
          <w:i/>
          <w:iCs/>
        </w:rPr>
        <w:t xml:space="preserve">CMS-1716-P, </w:t>
      </w:r>
      <w:r w:rsidRPr="00C17C50">
        <w:rPr>
          <w:rFonts w:cstheme="minorHAnsi"/>
          <w:b/>
          <w:bCs/>
          <w:i/>
          <w:iCs/>
        </w:rPr>
        <w:t xml:space="preserve">Medicare Program; </w:t>
      </w:r>
      <w:r w:rsidRPr="00C17C50">
        <w:rPr>
          <w:rFonts w:cstheme="minorHAnsi"/>
          <w:b/>
          <w:bCs/>
          <w:i/>
        </w:rPr>
        <w:t>Long-Term Care Hospital Prospective Payment System and Proposed Policy Changes and Fiscal Year 2020 Rates; Proposed Rule; Federal Register (Vol.8</w:t>
      </w:r>
      <w:r w:rsidR="00660763" w:rsidRPr="00C17C50">
        <w:rPr>
          <w:rFonts w:cstheme="minorHAnsi"/>
          <w:b/>
          <w:bCs/>
          <w:i/>
        </w:rPr>
        <w:t>4</w:t>
      </w:r>
      <w:r w:rsidRPr="00C17C50">
        <w:rPr>
          <w:rFonts w:cstheme="minorHAnsi"/>
          <w:b/>
          <w:bCs/>
          <w:i/>
        </w:rPr>
        <w:t>, No.</w:t>
      </w:r>
      <w:r w:rsidR="00660763" w:rsidRPr="00C17C50">
        <w:rPr>
          <w:rFonts w:cstheme="minorHAnsi"/>
          <w:b/>
          <w:bCs/>
          <w:i/>
        </w:rPr>
        <w:t>86</w:t>
      </w:r>
      <w:r w:rsidRPr="00C17C50">
        <w:rPr>
          <w:rFonts w:cstheme="minorHAnsi"/>
          <w:b/>
          <w:bCs/>
          <w:i/>
        </w:rPr>
        <w:t xml:space="preserve">), May </w:t>
      </w:r>
      <w:r w:rsidR="00660763" w:rsidRPr="00C17C50">
        <w:rPr>
          <w:rFonts w:cstheme="minorHAnsi"/>
          <w:b/>
          <w:bCs/>
          <w:i/>
        </w:rPr>
        <w:t>3</w:t>
      </w:r>
      <w:r w:rsidRPr="00C17C50">
        <w:rPr>
          <w:rFonts w:cstheme="minorHAnsi"/>
          <w:b/>
          <w:bCs/>
          <w:i/>
        </w:rPr>
        <w:t xml:space="preserve">, 2019 </w:t>
      </w:r>
    </w:p>
    <w:p w14:paraId="62168906" w14:textId="77777777" w:rsidR="002B170C" w:rsidRPr="00C17C50" w:rsidRDefault="002B170C" w:rsidP="002B170C">
      <w:pPr>
        <w:autoSpaceDE w:val="0"/>
        <w:autoSpaceDN w:val="0"/>
        <w:adjustRightInd w:val="0"/>
        <w:spacing w:after="0" w:line="240" w:lineRule="auto"/>
        <w:rPr>
          <w:rFonts w:cstheme="minorHAnsi"/>
          <w:i/>
        </w:rPr>
      </w:pPr>
    </w:p>
    <w:p w14:paraId="1593A47E" w14:textId="77777777" w:rsidR="002B170C" w:rsidRPr="00C17C50" w:rsidRDefault="002B170C" w:rsidP="002B170C">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Dear Administrator Verma: </w:t>
      </w:r>
    </w:p>
    <w:p w14:paraId="5C1A2C2C" w14:textId="77777777" w:rsidR="002B170C" w:rsidRPr="00C17C50" w:rsidRDefault="002B170C" w:rsidP="002B170C">
      <w:pPr>
        <w:pStyle w:val="Default"/>
        <w:rPr>
          <w:rFonts w:asciiTheme="minorHAnsi" w:hAnsiTheme="minorHAnsi" w:cstheme="minorHAnsi"/>
          <w:sz w:val="22"/>
          <w:szCs w:val="22"/>
        </w:rPr>
      </w:pPr>
    </w:p>
    <w:p w14:paraId="731D68E0" w14:textId="38959017" w:rsidR="002B170C" w:rsidRPr="00C17C50" w:rsidRDefault="002B170C" w:rsidP="002B170C">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On behalf of our more than 400 member hospitals and health systems, including </w:t>
      </w:r>
      <w:r w:rsidR="00D10DEC" w:rsidRPr="00C17C50">
        <w:rPr>
          <w:rFonts w:asciiTheme="minorHAnsi" w:hAnsiTheme="minorHAnsi" w:cstheme="minorHAnsi"/>
          <w:sz w:val="22"/>
          <w:szCs w:val="22"/>
        </w:rPr>
        <w:t>1</w:t>
      </w:r>
      <w:r w:rsidR="002B4D16">
        <w:rPr>
          <w:rFonts w:asciiTheme="minorHAnsi" w:hAnsiTheme="minorHAnsi" w:cstheme="minorHAnsi"/>
          <w:sz w:val="22"/>
          <w:szCs w:val="22"/>
        </w:rPr>
        <w:t>8</w:t>
      </w:r>
      <w:r w:rsidRPr="00C17C50">
        <w:rPr>
          <w:rFonts w:asciiTheme="minorHAnsi" w:hAnsiTheme="minorHAnsi" w:cstheme="minorHAnsi"/>
          <w:sz w:val="22"/>
          <w:szCs w:val="22"/>
        </w:rPr>
        <w:t xml:space="preserve"> long</w:t>
      </w:r>
      <w:r w:rsidR="009D39C8" w:rsidRPr="00C17C50">
        <w:rPr>
          <w:rFonts w:asciiTheme="minorHAnsi" w:hAnsiTheme="minorHAnsi" w:cstheme="minorHAnsi"/>
          <w:sz w:val="22"/>
          <w:szCs w:val="22"/>
        </w:rPr>
        <w:t>-</w:t>
      </w:r>
      <w:r w:rsidRPr="00C17C50">
        <w:rPr>
          <w:rFonts w:asciiTheme="minorHAnsi" w:hAnsiTheme="minorHAnsi" w:cstheme="minorHAnsi"/>
          <w:sz w:val="22"/>
          <w:szCs w:val="22"/>
        </w:rPr>
        <w:t>term acute care hospitals (LTCHs)</w:t>
      </w:r>
      <w:r w:rsidR="009D39C8" w:rsidRPr="00C17C50">
        <w:rPr>
          <w:rFonts w:asciiTheme="minorHAnsi" w:hAnsiTheme="minorHAnsi" w:cstheme="minorHAnsi"/>
          <w:sz w:val="22"/>
          <w:szCs w:val="22"/>
        </w:rPr>
        <w:t>,</w:t>
      </w:r>
      <w:r w:rsidRPr="00C17C50">
        <w:rPr>
          <w:rFonts w:asciiTheme="minorHAnsi" w:hAnsiTheme="minorHAnsi" w:cstheme="minorHAnsi"/>
          <w:sz w:val="22"/>
          <w:szCs w:val="22"/>
        </w:rPr>
        <w:t xml:space="preserve"> the California Hospital Association (CHA) is pleased to submit comments on the Centers for Medicare &amp; Medicaid Services (CMS) LTCH prospective payment system (PPS) proposed rule for federal fiscal year (FFY) 2020. </w:t>
      </w:r>
    </w:p>
    <w:p w14:paraId="4A4D51DC" w14:textId="77777777" w:rsidR="00C9468F" w:rsidRPr="00C17C50" w:rsidRDefault="00C9468F" w:rsidP="002B170C">
      <w:pPr>
        <w:pStyle w:val="Default"/>
        <w:rPr>
          <w:rFonts w:asciiTheme="minorHAnsi" w:hAnsiTheme="minorHAnsi" w:cstheme="minorHAnsi"/>
          <w:sz w:val="22"/>
          <w:szCs w:val="22"/>
        </w:rPr>
      </w:pPr>
    </w:p>
    <w:p w14:paraId="134A41C3" w14:textId="77777777" w:rsidR="002B170C" w:rsidRPr="00C17C50" w:rsidRDefault="00C9468F" w:rsidP="002B170C">
      <w:pPr>
        <w:pStyle w:val="BodyText"/>
        <w:tabs>
          <w:tab w:val="left" w:pos="9180"/>
        </w:tabs>
        <w:kinsoku w:val="0"/>
        <w:overflowPunct w:val="0"/>
        <w:spacing w:line="240" w:lineRule="auto"/>
        <w:ind w:left="0" w:firstLine="0"/>
        <w:rPr>
          <w:rFonts w:asciiTheme="minorHAnsi" w:hAnsiTheme="minorHAnsi" w:cstheme="minorHAnsi"/>
          <w:b/>
          <w:bCs/>
        </w:rPr>
      </w:pPr>
      <w:r w:rsidRPr="00C17C50">
        <w:rPr>
          <w:rFonts w:asciiTheme="minorHAnsi" w:hAnsiTheme="minorHAnsi" w:cstheme="minorHAnsi"/>
          <w:b/>
          <w:bCs/>
        </w:rPr>
        <w:t>In summary</w:t>
      </w:r>
      <w:r w:rsidR="009D39C8" w:rsidRPr="00C17C50">
        <w:rPr>
          <w:rFonts w:asciiTheme="minorHAnsi" w:hAnsiTheme="minorHAnsi" w:cstheme="minorHAnsi"/>
          <w:b/>
          <w:bCs/>
        </w:rPr>
        <w:t>,</w:t>
      </w:r>
      <w:r w:rsidRPr="00C17C50">
        <w:rPr>
          <w:rFonts w:asciiTheme="minorHAnsi" w:hAnsiTheme="minorHAnsi" w:cstheme="minorHAnsi"/>
          <w:b/>
          <w:bCs/>
        </w:rPr>
        <w:t xml:space="preserve"> CHA: </w:t>
      </w:r>
    </w:p>
    <w:p w14:paraId="22C98B57" w14:textId="77777777" w:rsidR="00C9468F" w:rsidRPr="00C17C50" w:rsidRDefault="00C9468F" w:rsidP="00593F65">
      <w:pPr>
        <w:pStyle w:val="Default"/>
        <w:ind w:left="780"/>
        <w:rPr>
          <w:rFonts w:asciiTheme="minorHAnsi" w:hAnsiTheme="minorHAnsi" w:cstheme="minorHAnsi"/>
          <w:sz w:val="22"/>
          <w:szCs w:val="22"/>
        </w:rPr>
      </w:pPr>
    </w:p>
    <w:p w14:paraId="28F3569C" w14:textId="31E1AE25" w:rsidR="007870A5" w:rsidRPr="00C17C50" w:rsidRDefault="00C9468F" w:rsidP="00C9468F">
      <w:pPr>
        <w:pStyle w:val="BodyText"/>
        <w:numPr>
          <w:ilvl w:val="0"/>
          <w:numId w:val="3"/>
        </w:numPr>
        <w:tabs>
          <w:tab w:val="left" w:pos="9180"/>
        </w:tabs>
        <w:kinsoku w:val="0"/>
        <w:overflowPunct w:val="0"/>
        <w:spacing w:line="240" w:lineRule="auto"/>
        <w:rPr>
          <w:rFonts w:asciiTheme="minorHAnsi" w:hAnsiTheme="minorHAnsi" w:cstheme="minorHAnsi"/>
        </w:rPr>
      </w:pPr>
      <w:r w:rsidRPr="00C17C50">
        <w:rPr>
          <w:rFonts w:asciiTheme="minorHAnsi" w:hAnsiTheme="minorHAnsi" w:cstheme="minorHAnsi"/>
          <w:bCs/>
        </w:rPr>
        <w:t>Supports and appreciates CMS’ proposal to c</w:t>
      </w:r>
      <w:r w:rsidR="002B170C" w:rsidRPr="00C17C50">
        <w:rPr>
          <w:rFonts w:asciiTheme="minorHAnsi" w:hAnsiTheme="minorHAnsi" w:cstheme="minorHAnsi"/>
          <w:bCs/>
        </w:rPr>
        <w:t xml:space="preserve">hange the specifications for the LTCH Quality Reporting Program (QRP) measure “Discharge to Community – PAC”  </w:t>
      </w:r>
    </w:p>
    <w:p w14:paraId="1A4E5586" w14:textId="578EBDFB" w:rsidR="00C9468F" w:rsidRPr="00C17C50" w:rsidRDefault="00C9468F" w:rsidP="00C9468F">
      <w:pPr>
        <w:pStyle w:val="BodyText"/>
        <w:numPr>
          <w:ilvl w:val="0"/>
          <w:numId w:val="3"/>
        </w:numPr>
        <w:tabs>
          <w:tab w:val="left" w:pos="9180"/>
        </w:tabs>
        <w:kinsoku w:val="0"/>
        <w:overflowPunct w:val="0"/>
        <w:spacing w:line="240" w:lineRule="auto"/>
        <w:rPr>
          <w:rFonts w:asciiTheme="minorHAnsi" w:hAnsiTheme="minorHAnsi" w:cstheme="minorHAnsi"/>
        </w:rPr>
      </w:pPr>
      <w:r w:rsidRPr="00C17C50">
        <w:rPr>
          <w:rFonts w:asciiTheme="minorHAnsi" w:hAnsiTheme="minorHAnsi" w:cstheme="minorHAnsi"/>
        </w:rPr>
        <w:t xml:space="preserve">Encourages CMS to eliminate the duplicative </w:t>
      </w:r>
      <w:r w:rsidR="009D39C8" w:rsidRPr="00C17C50">
        <w:rPr>
          <w:rFonts w:asciiTheme="minorHAnsi" w:hAnsiTheme="minorHAnsi" w:cstheme="minorHAnsi"/>
        </w:rPr>
        <w:t>budget neutrality</w:t>
      </w:r>
      <w:r w:rsidRPr="00C17C50">
        <w:rPr>
          <w:rFonts w:asciiTheme="minorHAnsi" w:hAnsiTheme="minorHAnsi" w:cstheme="minorHAnsi"/>
        </w:rPr>
        <w:t xml:space="preserve"> adjustment</w:t>
      </w:r>
      <w:r w:rsidR="009D39C8" w:rsidRPr="00C17C50">
        <w:rPr>
          <w:rFonts w:asciiTheme="minorHAnsi" w:hAnsiTheme="minorHAnsi" w:cstheme="minorHAnsi"/>
        </w:rPr>
        <w:t xml:space="preserve"> (BNA)</w:t>
      </w:r>
      <w:r w:rsidRPr="00C17C50">
        <w:rPr>
          <w:rFonts w:asciiTheme="minorHAnsi" w:hAnsiTheme="minorHAnsi" w:cstheme="minorHAnsi"/>
        </w:rPr>
        <w:t xml:space="preserve"> to the site-neutral LTCH payment</w:t>
      </w:r>
    </w:p>
    <w:p w14:paraId="4A33A7A8" w14:textId="1A1B3B13" w:rsidR="00C9468F" w:rsidRPr="00C17C50" w:rsidRDefault="00C9468F" w:rsidP="00C9468F">
      <w:pPr>
        <w:pStyle w:val="ListParagraph"/>
        <w:numPr>
          <w:ilvl w:val="0"/>
          <w:numId w:val="3"/>
        </w:numPr>
        <w:tabs>
          <w:tab w:val="left" w:pos="9180"/>
        </w:tabs>
        <w:spacing w:after="0" w:line="240" w:lineRule="auto"/>
        <w:rPr>
          <w:rFonts w:cstheme="minorHAnsi"/>
          <w:smallCaps/>
        </w:rPr>
      </w:pPr>
      <w:r w:rsidRPr="00C17C50">
        <w:rPr>
          <w:rFonts w:eastAsia="Calibri" w:cstheme="minorHAnsi"/>
          <w:bCs/>
        </w:rPr>
        <w:t>Urges CMS to develop additional mechanisms to provide real-time monitoring of LTCH compliance with the 50% rule and support timely application of corrective action</w:t>
      </w:r>
      <w:r w:rsidRPr="00C17C50">
        <w:rPr>
          <w:rFonts w:eastAsia="Calibri" w:cstheme="minorHAnsi"/>
        </w:rPr>
        <w:t xml:space="preserve">  </w:t>
      </w:r>
    </w:p>
    <w:p w14:paraId="3AB3B7CA" w14:textId="30D55C25" w:rsidR="00C9468F" w:rsidRPr="00C17C50" w:rsidRDefault="00C9468F" w:rsidP="003A11CF">
      <w:pPr>
        <w:pStyle w:val="BodyText"/>
        <w:tabs>
          <w:tab w:val="left" w:pos="9180"/>
        </w:tabs>
        <w:kinsoku w:val="0"/>
        <w:overflowPunct w:val="0"/>
        <w:spacing w:line="240" w:lineRule="auto"/>
        <w:ind w:left="0" w:firstLine="0"/>
        <w:rPr>
          <w:rFonts w:asciiTheme="minorHAnsi" w:hAnsiTheme="minorHAnsi" w:cstheme="minorHAnsi"/>
        </w:rPr>
      </w:pPr>
    </w:p>
    <w:p w14:paraId="28307721" w14:textId="2AA2D8F1" w:rsidR="003A11CF" w:rsidRPr="00C17C50" w:rsidRDefault="003A11CF" w:rsidP="003A11CF">
      <w:pPr>
        <w:pStyle w:val="BodyText"/>
        <w:tabs>
          <w:tab w:val="left" w:pos="9180"/>
        </w:tabs>
        <w:kinsoku w:val="0"/>
        <w:overflowPunct w:val="0"/>
        <w:spacing w:line="240" w:lineRule="auto"/>
        <w:ind w:left="0" w:firstLine="0"/>
        <w:rPr>
          <w:rFonts w:asciiTheme="minorHAnsi" w:hAnsiTheme="minorHAnsi" w:cstheme="minorHAnsi"/>
          <w:b/>
          <w:bCs/>
        </w:rPr>
      </w:pPr>
      <w:r w:rsidRPr="00C17C50">
        <w:rPr>
          <w:rFonts w:asciiTheme="minorHAnsi" w:hAnsiTheme="minorHAnsi" w:cstheme="minorHAnsi"/>
          <w:b/>
          <w:bCs/>
        </w:rPr>
        <w:t>CMS currently uses the FFY 2020 unadjusted hospital area wage index to adjust payments to long</w:t>
      </w:r>
      <w:r w:rsidR="007A7C16">
        <w:rPr>
          <w:rFonts w:asciiTheme="minorHAnsi" w:hAnsiTheme="minorHAnsi" w:cstheme="minorHAnsi"/>
          <w:b/>
          <w:bCs/>
        </w:rPr>
        <w:t>-</w:t>
      </w:r>
      <w:r w:rsidRPr="00C17C50">
        <w:rPr>
          <w:rFonts w:asciiTheme="minorHAnsi" w:hAnsiTheme="minorHAnsi" w:cstheme="minorHAnsi"/>
          <w:b/>
          <w:bCs/>
        </w:rPr>
        <w:t>ter</w:t>
      </w:r>
      <w:r w:rsidR="007A7C16">
        <w:rPr>
          <w:rFonts w:asciiTheme="minorHAnsi" w:hAnsiTheme="minorHAnsi" w:cstheme="minorHAnsi"/>
          <w:b/>
          <w:bCs/>
        </w:rPr>
        <w:t>m</w:t>
      </w:r>
      <w:r w:rsidRPr="00C17C50">
        <w:rPr>
          <w:rFonts w:asciiTheme="minorHAnsi" w:hAnsiTheme="minorHAnsi" w:cstheme="minorHAnsi"/>
          <w:b/>
          <w:bCs/>
        </w:rPr>
        <w:t xml:space="preserve"> acute care hospital</w:t>
      </w:r>
      <w:r w:rsidR="00C17C50" w:rsidRPr="00C17C50">
        <w:rPr>
          <w:rFonts w:asciiTheme="minorHAnsi" w:hAnsiTheme="minorHAnsi" w:cstheme="minorHAnsi"/>
          <w:b/>
          <w:bCs/>
        </w:rPr>
        <w:t xml:space="preserve"> payments</w:t>
      </w:r>
      <w:r w:rsidRPr="00C17C50">
        <w:rPr>
          <w:rFonts w:asciiTheme="minorHAnsi" w:hAnsiTheme="minorHAnsi" w:cstheme="minorHAnsi"/>
          <w:b/>
          <w:bCs/>
        </w:rPr>
        <w:t>. CHA strongly opposes the use of the current FFY 2020 wage index data that was released as a public use file on April 30. Changes resulting from the health system hospital exclusions from the area wage index calculation are untenable and must be reversed in both the IPPS adjusted and unadjusted area wage index.</w:t>
      </w:r>
    </w:p>
    <w:p w14:paraId="043CB676" w14:textId="77777777" w:rsidR="003A11CF" w:rsidRPr="00C17C50" w:rsidRDefault="003A11CF" w:rsidP="003A11CF">
      <w:pPr>
        <w:pStyle w:val="BodyText"/>
        <w:tabs>
          <w:tab w:val="left" w:pos="9180"/>
        </w:tabs>
        <w:kinsoku w:val="0"/>
        <w:overflowPunct w:val="0"/>
        <w:spacing w:line="240" w:lineRule="auto"/>
        <w:ind w:left="0" w:firstLine="0"/>
        <w:rPr>
          <w:rFonts w:asciiTheme="minorHAnsi" w:hAnsiTheme="minorHAnsi" w:cstheme="minorHAnsi"/>
        </w:rPr>
      </w:pPr>
    </w:p>
    <w:p w14:paraId="2F588554" w14:textId="77777777" w:rsidR="00481569" w:rsidRPr="00C17C50" w:rsidRDefault="00CE0927" w:rsidP="00481569">
      <w:pPr>
        <w:pStyle w:val="BodyText"/>
        <w:tabs>
          <w:tab w:val="left" w:pos="9180"/>
        </w:tabs>
        <w:kinsoku w:val="0"/>
        <w:overflowPunct w:val="0"/>
        <w:spacing w:line="240" w:lineRule="auto"/>
        <w:ind w:left="0" w:firstLine="0"/>
        <w:rPr>
          <w:rFonts w:asciiTheme="minorHAnsi" w:hAnsiTheme="minorHAnsi" w:cstheme="minorHAnsi"/>
          <w:b/>
        </w:rPr>
      </w:pPr>
      <w:r w:rsidRPr="00C17C50">
        <w:rPr>
          <w:rFonts w:asciiTheme="minorHAnsi" w:hAnsiTheme="minorHAnsi" w:cstheme="minorHAnsi"/>
          <w:b/>
        </w:rPr>
        <w:t xml:space="preserve">Specific to </w:t>
      </w:r>
      <w:r w:rsidR="00481569" w:rsidRPr="00C17C50">
        <w:rPr>
          <w:rFonts w:asciiTheme="minorHAnsi" w:hAnsiTheme="minorHAnsi" w:cstheme="minorHAnsi"/>
          <w:b/>
        </w:rPr>
        <w:t>CMS’ proposals for multiple additions to data collection and patient assessment, including the implementation of standardized patient assessment data elements (SPADE</w:t>
      </w:r>
      <w:r w:rsidRPr="00C17C50">
        <w:rPr>
          <w:rFonts w:asciiTheme="minorHAnsi" w:hAnsiTheme="minorHAnsi" w:cstheme="minorHAnsi"/>
          <w:b/>
        </w:rPr>
        <w:t>s</w:t>
      </w:r>
      <w:r w:rsidR="00481569" w:rsidRPr="00C17C50">
        <w:rPr>
          <w:rFonts w:asciiTheme="minorHAnsi" w:hAnsiTheme="minorHAnsi" w:cstheme="minorHAnsi"/>
          <w:b/>
        </w:rPr>
        <w:t>), CHA urges CMS to:</w:t>
      </w:r>
    </w:p>
    <w:p w14:paraId="71FFACF9" w14:textId="77777777" w:rsidR="001207DF" w:rsidRPr="00C17C50" w:rsidRDefault="001207DF" w:rsidP="00481569">
      <w:pPr>
        <w:pStyle w:val="BodyText"/>
        <w:tabs>
          <w:tab w:val="left" w:pos="9180"/>
        </w:tabs>
        <w:kinsoku w:val="0"/>
        <w:overflowPunct w:val="0"/>
        <w:spacing w:line="240" w:lineRule="auto"/>
        <w:ind w:left="0" w:firstLine="0"/>
        <w:rPr>
          <w:rFonts w:asciiTheme="minorHAnsi" w:hAnsiTheme="minorHAnsi" w:cstheme="minorHAnsi"/>
          <w:b/>
        </w:rPr>
      </w:pPr>
    </w:p>
    <w:p w14:paraId="789BB4E7" w14:textId="1C7758F2" w:rsidR="001207DF" w:rsidRPr="00C17C50" w:rsidRDefault="001207DF" w:rsidP="001207DF">
      <w:pPr>
        <w:pStyle w:val="Default"/>
        <w:numPr>
          <w:ilvl w:val="0"/>
          <w:numId w:val="8"/>
        </w:numPr>
        <w:rPr>
          <w:rFonts w:asciiTheme="minorHAnsi" w:hAnsiTheme="minorHAnsi" w:cstheme="minorHAnsi"/>
          <w:sz w:val="22"/>
          <w:szCs w:val="22"/>
        </w:rPr>
      </w:pPr>
      <w:r w:rsidRPr="00C17C50">
        <w:rPr>
          <w:rFonts w:asciiTheme="minorHAnsi" w:hAnsiTheme="minorHAnsi" w:cstheme="minorHAnsi"/>
          <w:b/>
          <w:sz w:val="22"/>
          <w:szCs w:val="22"/>
        </w:rPr>
        <w:t>Reduce the speed and scope of SPADE implementation.</w:t>
      </w:r>
      <w:r w:rsidRPr="00C17C50">
        <w:rPr>
          <w:rFonts w:asciiTheme="minorHAnsi" w:hAnsiTheme="minorHAnsi" w:cstheme="minorHAnsi"/>
          <w:sz w:val="22"/>
          <w:szCs w:val="22"/>
        </w:rPr>
        <w:t xml:space="preserve"> Absent a gradual, considered timeline for implementation, </w:t>
      </w:r>
      <w:r w:rsidR="002B170C" w:rsidRPr="00C17C50">
        <w:rPr>
          <w:rFonts w:asciiTheme="minorHAnsi" w:hAnsiTheme="minorHAnsi" w:cstheme="minorHAnsi"/>
          <w:sz w:val="22"/>
          <w:szCs w:val="22"/>
        </w:rPr>
        <w:t xml:space="preserve">LTCHs </w:t>
      </w:r>
      <w:r w:rsidRPr="00C17C50">
        <w:rPr>
          <w:rFonts w:asciiTheme="minorHAnsi" w:hAnsiTheme="minorHAnsi" w:cstheme="minorHAnsi"/>
          <w:sz w:val="22"/>
          <w:szCs w:val="22"/>
        </w:rPr>
        <w:t xml:space="preserve">are forced to continuously add new elements and processes to </w:t>
      </w:r>
      <w:r w:rsidR="007A7C16">
        <w:rPr>
          <w:rFonts w:asciiTheme="minorHAnsi" w:hAnsiTheme="minorHAnsi" w:cstheme="minorHAnsi"/>
          <w:sz w:val="22"/>
          <w:szCs w:val="22"/>
        </w:rPr>
        <w:t>those</w:t>
      </w:r>
      <w:r w:rsidR="007A7C16" w:rsidRPr="00C17C50">
        <w:rPr>
          <w:rFonts w:asciiTheme="minorHAnsi" w:hAnsiTheme="minorHAnsi" w:cstheme="minorHAnsi"/>
          <w:sz w:val="22"/>
          <w:szCs w:val="22"/>
        </w:rPr>
        <w:t xml:space="preserve"> </w:t>
      </w:r>
      <w:r w:rsidRPr="00C17C50">
        <w:rPr>
          <w:rFonts w:asciiTheme="minorHAnsi" w:hAnsiTheme="minorHAnsi" w:cstheme="minorHAnsi"/>
          <w:sz w:val="22"/>
          <w:szCs w:val="22"/>
        </w:rPr>
        <w:t xml:space="preserve">that already exist, without time to assess and test a redesigned workflow process that could more efficiently and effectively meet the goals of an accurate assessment and inter-setting communication.  </w:t>
      </w:r>
    </w:p>
    <w:p w14:paraId="08780A37" w14:textId="77777777" w:rsidR="001207DF" w:rsidRPr="00C17C50" w:rsidRDefault="001207DF" w:rsidP="001207DF">
      <w:pPr>
        <w:pStyle w:val="Default"/>
        <w:numPr>
          <w:ilvl w:val="0"/>
          <w:numId w:val="8"/>
        </w:numPr>
        <w:rPr>
          <w:rFonts w:asciiTheme="minorHAnsi" w:hAnsiTheme="minorHAnsi" w:cstheme="minorHAnsi"/>
          <w:sz w:val="22"/>
          <w:szCs w:val="22"/>
        </w:rPr>
      </w:pPr>
      <w:r w:rsidRPr="00C17C50">
        <w:rPr>
          <w:rFonts w:asciiTheme="minorHAnsi" w:hAnsiTheme="minorHAnsi" w:cstheme="minorHAnsi"/>
          <w:b/>
          <w:bCs/>
          <w:sz w:val="22"/>
          <w:szCs w:val="22"/>
        </w:rPr>
        <w:lastRenderedPageBreak/>
        <w:t>Create and make transparent a data use strategy and analysis plan</w:t>
      </w:r>
      <w:r w:rsidRPr="00C17C50">
        <w:rPr>
          <w:rFonts w:asciiTheme="minorHAnsi" w:hAnsiTheme="minorHAnsi" w:cstheme="minorHAnsi"/>
          <w:sz w:val="22"/>
          <w:szCs w:val="22"/>
        </w:rPr>
        <w:t xml:space="preserve"> for the SPADE</w:t>
      </w:r>
      <w:r w:rsidR="00CE0927" w:rsidRPr="00C17C50">
        <w:rPr>
          <w:rFonts w:asciiTheme="minorHAnsi" w:hAnsiTheme="minorHAnsi" w:cstheme="minorHAnsi"/>
          <w:sz w:val="22"/>
          <w:szCs w:val="22"/>
        </w:rPr>
        <w:t>s</w:t>
      </w:r>
      <w:r w:rsidRPr="00C17C50">
        <w:rPr>
          <w:rFonts w:asciiTheme="minorHAnsi" w:hAnsiTheme="minorHAnsi" w:cstheme="minorHAnsi"/>
          <w:sz w:val="22"/>
          <w:szCs w:val="22"/>
        </w:rPr>
        <w:t xml:space="preserve"> so post-acute care providers, including </w:t>
      </w:r>
      <w:r w:rsidR="002B170C" w:rsidRPr="00C17C50">
        <w:rPr>
          <w:rFonts w:asciiTheme="minorHAnsi" w:hAnsiTheme="minorHAnsi" w:cstheme="minorHAnsi"/>
          <w:sz w:val="22"/>
          <w:szCs w:val="22"/>
        </w:rPr>
        <w:t xml:space="preserve">LTCHs, </w:t>
      </w:r>
      <w:r w:rsidRPr="00C17C50">
        <w:rPr>
          <w:rFonts w:asciiTheme="minorHAnsi" w:hAnsiTheme="minorHAnsi" w:cstheme="minorHAnsi"/>
          <w:sz w:val="22"/>
          <w:szCs w:val="22"/>
        </w:rPr>
        <w:t xml:space="preserve">better understand how the agency will further assess </w:t>
      </w:r>
      <w:proofErr w:type="spellStart"/>
      <w:r w:rsidRPr="00C17C50">
        <w:rPr>
          <w:rFonts w:asciiTheme="minorHAnsi" w:hAnsiTheme="minorHAnsi" w:cstheme="minorHAnsi"/>
          <w:sz w:val="22"/>
          <w:szCs w:val="22"/>
        </w:rPr>
        <w:t>SPADEs’</w:t>
      </w:r>
      <w:proofErr w:type="spellEnd"/>
      <w:r w:rsidRPr="00C17C50">
        <w:rPr>
          <w:rFonts w:asciiTheme="minorHAnsi" w:hAnsiTheme="minorHAnsi" w:cstheme="minorHAnsi"/>
          <w:sz w:val="22"/>
          <w:szCs w:val="22"/>
        </w:rPr>
        <w:t xml:space="preserve"> adequacy and usability in the development of a unified PPS and future quality measures.</w:t>
      </w:r>
    </w:p>
    <w:p w14:paraId="002CA30C" w14:textId="3E1CCD25" w:rsidR="001207DF" w:rsidRPr="00C17C50" w:rsidRDefault="001207DF" w:rsidP="001207DF">
      <w:pPr>
        <w:pStyle w:val="Default"/>
        <w:numPr>
          <w:ilvl w:val="0"/>
          <w:numId w:val="8"/>
        </w:numPr>
        <w:rPr>
          <w:rFonts w:asciiTheme="minorHAnsi" w:hAnsiTheme="minorHAnsi" w:cstheme="minorHAnsi"/>
          <w:sz w:val="22"/>
          <w:szCs w:val="22"/>
        </w:rPr>
      </w:pPr>
      <w:r w:rsidRPr="00C17C50">
        <w:rPr>
          <w:rFonts w:asciiTheme="minorHAnsi" w:hAnsiTheme="minorHAnsi" w:cstheme="minorHAnsi"/>
          <w:b/>
          <w:bCs/>
          <w:sz w:val="22"/>
          <w:szCs w:val="22"/>
        </w:rPr>
        <w:t xml:space="preserve">Develop a framework in the </w:t>
      </w:r>
      <w:r w:rsidR="002B170C" w:rsidRPr="00C17C50">
        <w:rPr>
          <w:rFonts w:asciiTheme="minorHAnsi" w:hAnsiTheme="minorHAnsi" w:cstheme="minorHAnsi"/>
          <w:b/>
          <w:bCs/>
          <w:sz w:val="22"/>
          <w:szCs w:val="22"/>
        </w:rPr>
        <w:t xml:space="preserve">LTCH Care Data Set (LCDS) </w:t>
      </w:r>
      <w:r w:rsidRPr="00C17C50">
        <w:rPr>
          <w:rFonts w:asciiTheme="minorHAnsi" w:hAnsiTheme="minorHAnsi" w:cstheme="minorHAnsi"/>
          <w:b/>
          <w:bCs/>
          <w:sz w:val="22"/>
          <w:szCs w:val="22"/>
        </w:rPr>
        <w:t>for prioritizing implementation of the critical SPADEs.</w:t>
      </w:r>
      <w:r w:rsidRPr="00C17C50">
        <w:rPr>
          <w:rFonts w:asciiTheme="minorHAnsi" w:hAnsiTheme="minorHAnsi" w:cstheme="minorHAnsi"/>
          <w:sz w:val="22"/>
          <w:szCs w:val="22"/>
        </w:rPr>
        <w:t xml:space="preserve"> </w:t>
      </w:r>
      <w:r w:rsidR="00C17C50">
        <w:rPr>
          <w:rFonts w:asciiTheme="minorHAnsi" w:hAnsiTheme="minorHAnsi" w:cstheme="minorHAnsi"/>
          <w:sz w:val="22"/>
          <w:szCs w:val="22"/>
        </w:rPr>
        <w:t xml:space="preserve">In addition, </w:t>
      </w:r>
      <w:r w:rsidR="00B3454B">
        <w:rPr>
          <w:rFonts w:asciiTheme="minorHAnsi" w:hAnsiTheme="minorHAnsi" w:cstheme="minorHAnsi"/>
          <w:sz w:val="22"/>
          <w:szCs w:val="22"/>
        </w:rPr>
        <w:t>t</w:t>
      </w:r>
      <w:r w:rsidRPr="00C17C50">
        <w:rPr>
          <w:rFonts w:asciiTheme="minorHAnsi" w:hAnsiTheme="minorHAnsi" w:cstheme="minorHAnsi"/>
          <w:sz w:val="22"/>
          <w:szCs w:val="22"/>
        </w:rPr>
        <w:t>he agency should strongly consider a period of voluntary reporting for a number of SPADEs to better understand their value in future data use strategies.</w:t>
      </w:r>
    </w:p>
    <w:p w14:paraId="4B77A647" w14:textId="1DF9C6C6" w:rsidR="001207DF" w:rsidRPr="00C17C50" w:rsidRDefault="001207DF" w:rsidP="001207DF">
      <w:pPr>
        <w:pStyle w:val="Default"/>
        <w:numPr>
          <w:ilvl w:val="0"/>
          <w:numId w:val="8"/>
        </w:numPr>
        <w:rPr>
          <w:rFonts w:asciiTheme="minorHAnsi" w:hAnsiTheme="minorHAnsi" w:cstheme="minorHAnsi"/>
          <w:sz w:val="22"/>
          <w:szCs w:val="22"/>
        </w:rPr>
      </w:pPr>
      <w:r w:rsidRPr="00C17C50">
        <w:rPr>
          <w:rFonts w:asciiTheme="minorHAnsi" w:hAnsiTheme="minorHAnsi" w:cstheme="minorHAnsi"/>
          <w:b/>
          <w:bCs/>
          <w:sz w:val="22"/>
          <w:szCs w:val="22"/>
        </w:rPr>
        <w:t>Detail and adopt a staged implementation plan</w:t>
      </w:r>
      <w:r w:rsidRPr="00C17C50">
        <w:rPr>
          <w:rFonts w:asciiTheme="minorHAnsi" w:hAnsiTheme="minorHAnsi" w:cstheme="minorHAnsi"/>
          <w:sz w:val="22"/>
          <w:szCs w:val="22"/>
        </w:rPr>
        <w:t xml:space="preserve"> t</w:t>
      </w:r>
      <w:r w:rsidR="00CE0927" w:rsidRPr="00C17C50">
        <w:rPr>
          <w:rFonts w:asciiTheme="minorHAnsi" w:hAnsiTheme="minorHAnsi" w:cstheme="minorHAnsi"/>
          <w:sz w:val="22"/>
          <w:szCs w:val="22"/>
        </w:rPr>
        <w:t>hat</w:t>
      </w:r>
      <w:r w:rsidRPr="00C17C50">
        <w:rPr>
          <w:rFonts w:asciiTheme="minorHAnsi" w:hAnsiTheme="minorHAnsi" w:cstheme="minorHAnsi"/>
          <w:sz w:val="22"/>
          <w:szCs w:val="22"/>
        </w:rPr>
        <w:t xml:space="preserve"> allow</w:t>
      </w:r>
      <w:r w:rsidR="00CE0927" w:rsidRPr="00C17C50">
        <w:rPr>
          <w:rFonts w:asciiTheme="minorHAnsi" w:hAnsiTheme="minorHAnsi" w:cstheme="minorHAnsi"/>
          <w:sz w:val="22"/>
          <w:szCs w:val="22"/>
        </w:rPr>
        <w:t>s</w:t>
      </w:r>
      <w:r w:rsidRPr="00C17C50">
        <w:rPr>
          <w:rFonts w:asciiTheme="minorHAnsi" w:hAnsiTheme="minorHAnsi" w:cstheme="minorHAnsi"/>
          <w:sz w:val="22"/>
          <w:szCs w:val="22"/>
        </w:rPr>
        <w:t xml:space="preserve"> </w:t>
      </w:r>
      <w:r w:rsidR="002B170C" w:rsidRPr="00C17C50">
        <w:rPr>
          <w:rFonts w:asciiTheme="minorHAnsi" w:hAnsiTheme="minorHAnsi" w:cstheme="minorHAnsi"/>
          <w:sz w:val="22"/>
          <w:szCs w:val="22"/>
        </w:rPr>
        <w:t xml:space="preserve">LTCHs </w:t>
      </w:r>
      <w:r w:rsidRPr="00C17C50">
        <w:rPr>
          <w:rFonts w:asciiTheme="minorHAnsi" w:hAnsiTheme="minorHAnsi" w:cstheme="minorHAnsi"/>
          <w:sz w:val="22"/>
          <w:szCs w:val="22"/>
        </w:rPr>
        <w:t xml:space="preserve">and other post-acute care providers additional time to manage the operational and workflow changes needed to ensure reliable and valid data collection across all patients. Additional evaluation of SPADEs and their intended uses </w:t>
      </w:r>
      <w:r w:rsidR="009D39C8" w:rsidRPr="00C17C50">
        <w:rPr>
          <w:rFonts w:asciiTheme="minorHAnsi" w:hAnsiTheme="minorHAnsi" w:cstheme="minorHAnsi"/>
          <w:sz w:val="22"/>
          <w:szCs w:val="22"/>
        </w:rPr>
        <w:t>is</w:t>
      </w:r>
      <w:r w:rsidRPr="00C17C50">
        <w:rPr>
          <w:rFonts w:asciiTheme="minorHAnsi" w:hAnsiTheme="minorHAnsi" w:cstheme="minorHAnsi"/>
          <w:sz w:val="22"/>
          <w:szCs w:val="22"/>
        </w:rPr>
        <w:t xml:space="preserve"> needed prior to nationwide implementation and adoption.    </w:t>
      </w:r>
    </w:p>
    <w:p w14:paraId="4832BDFF" w14:textId="77777777" w:rsidR="001207DF" w:rsidRPr="00C17C50" w:rsidRDefault="001207DF" w:rsidP="001207DF">
      <w:pPr>
        <w:pStyle w:val="BodyText"/>
        <w:tabs>
          <w:tab w:val="left" w:pos="9180"/>
        </w:tabs>
        <w:kinsoku w:val="0"/>
        <w:overflowPunct w:val="0"/>
        <w:spacing w:line="240" w:lineRule="auto"/>
        <w:ind w:left="0" w:firstLine="0"/>
        <w:rPr>
          <w:rFonts w:asciiTheme="minorHAnsi" w:hAnsiTheme="minorHAnsi" w:cstheme="minorHAnsi"/>
          <w:bCs/>
        </w:rPr>
      </w:pPr>
    </w:p>
    <w:p w14:paraId="5DAFBD72" w14:textId="77777777" w:rsidR="005A182A" w:rsidRPr="00C17C50" w:rsidRDefault="005A182A" w:rsidP="005A182A">
      <w:pPr>
        <w:pStyle w:val="BodyText"/>
        <w:tabs>
          <w:tab w:val="left" w:pos="9180"/>
        </w:tabs>
        <w:kinsoku w:val="0"/>
        <w:overflowPunct w:val="0"/>
        <w:spacing w:line="240" w:lineRule="auto"/>
        <w:ind w:left="0" w:firstLine="0"/>
        <w:rPr>
          <w:rFonts w:asciiTheme="minorHAnsi" w:hAnsiTheme="minorHAnsi" w:cstheme="minorHAnsi"/>
          <w:bCs/>
        </w:rPr>
      </w:pPr>
      <w:r w:rsidRPr="00C17C50">
        <w:rPr>
          <w:rFonts w:asciiTheme="minorHAnsi" w:hAnsiTheme="minorHAnsi" w:cstheme="minorHAnsi"/>
          <w:bCs/>
        </w:rPr>
        <w:t xml:space="preserve">CHA strongly supports the goals of the Improving Medicare Post-Acute Care Transformation (IMPACT) Act of 2014 and appreciates CMS’ ongoing efforts to improve payment accuracy, including aligning reimbursement more closely with patient characteristics and aligning patient assessment items across care settings. However, the scope of these changes and their timing remains problematic.  </w:t>
      </w:r>
    </w:p>
    <w:p w14:paraId="3A03A823" w14:textId="77777777" w:rsidR="005A182A" w:rsidRPr="00C17C50" w:rsidRDefault="005A182A" w:rsidP="005A182A">
      <w:pPr>
        <w:pStyle w:val="BodyText"/>
        <w:tabs>
          <w:tab w:val="left" w:pos="9180"/>
        </w:tabs>
        <w:kinsoku w:val="0"/>
        <w:overflowPunct w:val="0"/>
        <w:spacing w:line="240" w:lineRule="auto"/>
        <w:ind w:left="0" w:firstLine="0"/>
        <w:rPr>
          <w:rFonts w:asciiTheme="minorHAnsi" w:hAnsiTheme="minorHAnsi" w:cstheme="minorHAnsi"/>
          <w:bCs/>
        </w:rPr>
      </w:pPr>
    </w:p>
    <w:p w14:paraId="39562BDE" w14:textId="1DA8D950" w:rsidR="005A182A" w:rsidRPr="00C17C50" w:rsidRDefault="009D39C8" w:rsidP="005A182A">
      <w:pPr>
        <w:pStyle w:val="BodyText"/>
        <w:tabs>
          <w:tab w:val="left" w:pos="9180"/>
        </w:tabs>
        <w:kinsoku w:val="0"/>
        <w:overflowPunct w:val="0"/>
        <w:spacing w:line="240" w:lineRule="auto"/>
        <w:ind w:left="0" w:firstLine="0"/>
        <w:rPr>
          <w:rFonts w:asciiTheme="minorHAnsi" w:hAnsiTheme="minorHAnsi" w:cstheme="minorHAnsi"/>
          <w:bCs/>
        </w:rPr>
      </w:pPr>
      <w:r w:rsidRPr="00C17C50">
        <w:rPr>
          <w:rFonts w:asciiTheme="minorHAnsi" w:hAnsiTheme="minorHAnsi" w:cstheme="minorHAnsi"/>
          <w:bCs/>
        </w:rPr>
        <w:t>T</w:t>
      </w:r>
      <w:r w:rsidR="005A182A" w:rsidRPr="00C17C50">
        <w:rPr>
          <w:rFonts w:asciiTheme="minorHAnsi" w:hAnsiTheme="minorHAnsi" w:cstheme="minorHAnsi"/>
          <w:bCs/>
        </w:rPr>
        <w:t>he significant addition of SPADEs, the unintended consequences of a flawed area wage index policy for FFY 2020</w:t>
      </w:r>
      <w:r w:rsidR="00BD77AA" w:rsidRPr="00C17C50">
        <w:rPr>
          <w:rFonts w:asciiTheme="minorHAnsi" w:hAnsiTheme="minorHAnsi" w:cstheme="minorHAnsi"/>
          <w:bCs/>
        </w:rPr>
        <w:t xml:space="preserve">, </w:t>
      </w:r>
      <w:r w:rsidRPr="00C17C50">
        <w:rPr>
          <w:rFonts w:asciiTheme="minorHAnsi" w:hAnsiTheme="minorHAnsi" w:cstheme="minorHAnsi"/>
          <w:bCs/>
        </w:rPr>
        <w:t>and</w:t>
      </w:r>
      <w:r w:rsidR="00BD77AA" w:rsidRPr="00C17C50">
        <w:rPr>
          <w:rFonts w:asciiTheme="minorHAnsi" w:hAnsiTheme="minorHAnsi" w:cstheme="minorHAnsi"/>
          <w:bCs/>
        </w:rPr>
        <w:t xml:space="preserve"> the continued transition to a dual</w:t>
      </w:r>
      <w:r w:rsidRPr="00C17C50">
        <w:rPr>
          <w:rFonts w:asciiTheme="minorHAnsi" w:hAnsiTheme="minorHAnsi" w:cstheme="minorHAnsi"/>
          <w:bCs/>
        </w:rPr>
        <w:t>-</w:t>
      </w:r>
      <w:r w:rsidR="00BD77AA" w:rsidRPr="00C17C50">
        <w:rPr>
          <w:rFonts w:asciiTheme="minorHAnsi" w:hAnsiTheme="minorHAnsi" w:cstheme="minorHAnsi"/>
          <w:bCs/>
        </w:rPr>
        <w:t>rate system and reductions in reimbursement for site-neutral patients</w:t>
      </w:r>
      <w:r w:rsidRPr="00C17C50">
        <w:rPr>
          <w:rFonts w:asciiTheme="minorHAnsi" w:hAnsiTheme="minorHAnsi" w:cstheme="minorHAnsi"/>
          <w:bCs/>
        </w:rPr>
        <w:t xml:space="preserve"> combine to</w:t>
      </w:r>
      <w:r w:rsidR="00BD77AA" w:rsidRPr="00C17C50">
        <w:rPr>
          <w:rFonts w:asciiTheme="minorHAnsi" w:hAnsiTheme="minorHAnsi" w:cstheme="minorHAnsi"/>
          <w:bCs/>
        </w:rPr>
        <w:t xml:space="preserve"> </w:t>
      </w:r>
      <w:r w:rsidR="005A182A" w:rsidRPr="00C17C50">
        <w:rPr>
          <w:rFonts w:asciiTheme="minorHAnsi" w:hAnsiTheme="minorHAnsi" w:cstheme="minorHAnsi"/>
          <w:bCs/>
        </w:rPr>
        <w:t xml:space="preserve">present </w:t>
      </w:r>
      <w:r w:rsidR="00BD77AA" w:rsidRPr="00C17C50">
        <w:rPr>
          <w:rFonts w:asciiTheme="minorHAnsi" w:hAnsiTheme="minorHAnsi" w:cstheme="minorHAnsi"/>
          <w:bCs/>
        </w:rPr>
        <w:t>significant operational</w:t>
      </w:r>
      <w:r w:rsidR="005A182A" w:rsidRPr="00C17C50">
        <w:rPr>
          <w:rFonts w:asciiTheme="minorHAnsi" w:hAnsiTheme="minorHAnsi" w:cstheme="minorHAnsi"/>
          <w:bCs/>
        </w:rPr>
        <w:t xml:space="preserve"> challenges to </w:t>
      </w:r>
      <w:r w:rsidR="00BD77AA" w:rsidRPr="00C17C50">
        <w:rPr>
          <w:rFonts w:asciiTheme="minorHAnsi" w:hAnsiTheme="minorHAnsi" w:cstheme="minorHAnsi"/>
          <w:bCs/>
        </w:rPr>
        <w:t xml:space="preserve">LTCHs </w:t>
      </w:r>
      <w:r w:rsidR="005A182A" w:rsidRPr="00C17C50">
        <w:rPr>
          <w:rFonts w:asciiTheme="minorHAnsi" w:hAnsiTheme="minorHAnsi" w:cstheme="minorHAnsi"/>
          <w:bCs/>
        </w:rPr>
        <w:t xml:space="preserve">— particularly those in California, where the impact of the change in area wage index policy is significant. The unprecedented change occurring in the post-acute care setting will require additional staff training and present untold operational challenges. Simultaneous implementation of policy changes of this magnitude to one payment system on the timeline proposed will not only undermine the agency’s long-term policy goals, but will also impose significant hardship on </w:t>
      </w:r>
      <w:r w:rsidR="00BD77AA" w:rsidRPr="00C17C50">
        <w:rPr>
          <w:rFonts w:asciiTheme="minorHAnsi" w:hAnsiTheme="minorHAnsi" w:cstheme="minorHAnsi"/>
          <w:bCs/>
        </w:rPr>
        <w:t xml:space="preserve">LTCH </w:t>
      </w:r>
      <w:r w:rsidR="005A182A" w:rsidRPr="00C17C50">
        <w:rPr>
          <w:rFonts w:asciiTheme="minorHAnsi" w:hAnsiTheme="minorHAnsi" w:cstheme="minorHAnsi"/>
          <w:bCs/>
        </w:rPr>
        <w:t xml:space="preserve">providers. Rethinking this implementation — and staging it appropriately — will benefit both providers and CMS </w:t>
      </w:r>
      <w:r w:rsidR="00FF31A0" w:rsidRPr="00C17C50">
        <w:rPr>
          <w:rFonts w:asciiTheme="minorHAnsi" w:hAnsiTheme="minorHAnsi" w:cstheme="minorHAnsi"/>
          <w:bCs/>
        </w:rPr>
        <w:t xml:space="preserve">over </w:t>
      </w:r>
      <w:r w:rsidR="005A182A" w:rsidRPr="00C17C50">
        <w:rPr>
          <w:rFonts w:asciiTheme="minorHAnsi" w:hAnsiTheme="minorHAnsi" w:cstheme="minorHAnsi"/>
          <w:bCs/>
        </w:rPr>
        <w:t xml:space="preserve">the long term. Our detailed comments are noted below. </w:t>
      </w:r>
    </w:p>
    <w:p w14:paraId="39DDC5BB" w14:textId="77777777" w:rsidR="009C3C57" w:rsidRPr="00C17C50" w:rsidRDefault="009C3C57" w:rsidP="005A182A">
      <w:pPr>
        <w:pStyle w:val="BodyText"/>
        <w:tabs>
          <w:tab w:val="left" w:pos="9180"/>
        </w:tabs>
        <w:kinsoku w:val="0"/>
        <w:overflowPunct w:val="0"/>
        <w:spacing w:line="240" w:lineRule="auto"/>
        <w:ind w:left="0" w:firstLine="0"/>
        <w:rPr>
          <w:rFonts w:asciiTheme="minorHAnsi" w:hAnsiTheme="minorHAnsi" w:cstheme="minorHAnsi"/>
          <w:b/>
          <w:bCs/>
        </w:rPr>
      </w:pPr>
    </w:p>
    <w:p w14:paraId="0BF767DC" w14:textId="77777777" w:rsidR="001137C1" w:rsidRPr="00C17C50" w:rsidRDefault="001137C1" w:rsidP="001137C1">
      <w:pPr>
        <w:pStyle w:val="Default"/>
        <w:rPr>
          <w:rFonts w:asciiTheme="minorHAnsi" w:eastAsiaTheme="minorEastAsia" w:hAnsiTheme="minorHAnsi" w:cstheme="minorHAnsi"/>
          <w:b/>
          <w:bCs/>
          <w:smallCaps/>
          <w:spacing w:val="-1"/>
          <w:sz w:val="22"/>
          <w:szCs w:val="22"/>
        </w:rPr>
      </w:pPr>
      <w:r w:rsidRPr="00C17C50">
        <w:rPr>
          <w:rFonts w:asciiTheme="minorHAnsi" w:eastAsiaTheme="minorEastAsia" w:hAnsiTheme="minorHAnsi" w:cstheme="minorHAnsi"/>
          <w:b/>
          <w:bCs/>
          <w:smallCaps/>
          <w:spacing w:val="-1"/>
          <w:sz w:val="22"/>
          <w:szCs w:val="22"/>
        </w:rPr>
        <w:t>CMS’ Approach to PPS Changes for Post-Acute Care Providers</w:t>
      </w:r>
    </w:p>
    <w:p w14:paraId="2D581CFE" w14:textId="77777777" w:rsidR="001137C1" w:rsidRPr="00C17C50" w:rsidRDefault="001137C1" w:rsidP="001137C1">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CHA shares CMS’ goals of ensuring that patients receive post-acute medical and rehabilitative care in the setting most appropriate for their needs, and that patient assessment practices support effective care treatment plans and transitions. We also recognize CMS’ continued work toward its long-term goal of a unified post-acute care payment system. </w:t>
      </w:r>
    </w:p>
    <w:p w14:paraId="285D0D59" w14:textId="77777777" w:rsidR="001137C1" w:rsidRPr="00C17C50" w:rsidRDefault="001137C1" w:rsidP="001137C1">
      <w:pPr>
        <w:pStyle w:val="Default"/>
        <w:rPr>
          <w:rFonts w:asciiTheme="minorHAnsi" w:hAnsiTheme="minorHAnsi" w:cstheme="minorHAnsi"/>
          <w:sz w:val="22"/>
          <w:szCs w:val="22"/>
        </w:rPr>
      </w:pPr>
    </w:p>
    <w:p w14:paraId="14D5D757" w14:textId="77777777" w:rsidR="001137C1" w:rsidRPr="00C17C50" w:rsidRDefault="001137C1" w:rsidP="001137C1">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In the past 18 months alone, significant changes have been proposed and implemented in each post-acute care payment system. </w:t>
      </w:r>
      <w:r w:rsidRPr="00C17C50">
        <w:rPr>
          <w:rFonts w:asciiTheme="minorHAnsi" w:hAnsiTheme="minorHAnsi" w:cstheme="minorHAnsi"/>
          <w:b/>
          <w:sz w:val="22"/>
          <w:szCs w:val="22"/>
        </w:rPr>
        <w:t>We urge the agency to develop additional lines of communication with stakeholders, such as a:</w:t>
      </w:r>
      <w:r w:rsidRPr="00C17C50">
        <w:rPr>
          <w:rFonts w:asciiTheme="minorHAnsi" w:hAnsiTheme="minorHAnsi" w:cstheme="minorHAnsi"/>
          <w:sz w:val="22"/>
          <w:szCs w:val="22"/>
        </w:rPr>
        <w:t xml:space="preserve">  </w:t>
      </w:r>
    </w:p>
    <w:p w14:paraId="6AB2ED6F" w14:textId="77777777" w:rsidR="001137C1" w:rsidRPr="00C17C50" w:rsidRDefault="001137C1" w:rsidP="001137C1">
      <w:pPr>
        <w:pStyle w:val="Default"/>
        <w:rPr>
          <w:rFonts w:asciiTheme="minorHAnsi" w:hAnsiTheme="minorHAnsi" w:cstheme="minorHAnsi"/>
          <w:sz w:val="22"/>
          <w:szCs w:val="22"/>
        </w:rPr>
      </w:pPr>
    </w:p>
    <w:p w14:paraId="6D4BAA71" w14:textId="70317ADB" w:rsidR="001137C1" w:rsidRPr="00C17C50" w:rsidRDefault="001137C1" w:rsidP="001137C1">
      <w:pPr>
        <w:pStyle w:val="Default"/>
        <w:numPr>
          <w:ilvl w:val="0"/>
          <w:numId w:val="6"/>
        </w:numPr>
        <w:rPr>
          <w:rFonts w:asciiTheme="minorHAnsi" w:hAnsiTheme="minorHAnsi" w:cstheme="minorHAnsi"/>
          <w:sz w:val="22"/>
          <w:szCs w:val="22"/>
        </w:rPr>
      </w:pPr>
      <w:r w:rsidRPr="00C17C50">
        <w:rPr>
          <w:rFonts w:asciiTheme="minorHAnsi" w:hAnsiTheme="minorHAnsi" w:cstheme="minorHAnsi"/>
          <w:b/>
          <w:bCs/>
          <w:sz w:val="22"/>
          <w:szCs w:val="22"/>
        </w:rPr>
        <w:t>Multi-disciplinary stakeholder workgroup</w:t>
      </w:r>
      <w:r w:rsidRPr="00C17C50">
        <w:rPr>
          <w:rFonts w:asciiTheme="minorHAnsi" w:hAnsiTheme="minorHAnsi" w:cstheme="minorHAnsi"/>
          <w:bCs/>
          <w:sz w:val="22"/>
          <w:szCs w:val="22"/>
        </w:rPr>
        <w:t>, representing all post-acute settings, to advise CMS on the strategic and operational implications that should be considered as these concurrent changes go forward</w:t>
      </w:r>
      <w:r w:rsidRPr="00C17C50">
        <w:rPr>
          <w:rFonts w:asciiTheme="minorHAnsi" w:hAnsiTheme="minorHAnsi" w:cstheme="minorHAnsi"/>
          <w:sz w:val="22"/>
          <w:szCs w:val="22"/>
        </w:rPr>
        <w:t>. We recommend specific emphasis of the SPADEs implementation across settings. Convening the full continuum of providers offers an opportunity for shared learning and understanding and allows for discussion of a common analysis framework — while still allowing CMS to engage in a dialogue about the impact on patient care. Such a group (or groups) would help the agency in meeting its long-term goals of a unified post-acute care PPS, as stakeholder engagement conducted only</w:t>
      </w:r>
      <w:r w:rsidR="007F7E64" w:rsidRPr="00C17C50">
        <w:rPr>
          <w:rFonts w:asciiTheme="minorHAnsi" w:hAnsiTheme="minorHAnsi" w:cstheme="minorHAnsi"/>
          <w:sz w:val="22"/>
          <w:szCs w:val="22"/>
        </w:rPr>
        <w:t xml:space="preserve"> in</w:t>
      </w:r>
      <w:r w:rsidRPr="00C17C50">
        <w:rPr>
          <w:rFonts w:asciiTheme="minorHAnsi" w:hAnsiTheme="minorHAnsi" w:cstheme="minorHAnsi"/>
          <w:sz w:val="22"/>
          <w:szCs w:val="22"/>
        </w:rPr>
        <w:t xml:space="preserve"> payment silos is counter-intuitive. While we </w:t>
      </w:r>
      <w:r w:rsidRPr="00C17C50">
        <w:rPr>
          <w:rFonts w:asciiTheme="minorHAnsi" w:hAnsiTheme="minorHAnsi" w:cstheme="minorHAnsi"/>
          <w:sz w:val="22"/>
          <w:szCs w:val="22"/>
        </w:rPr>
        <w:lastRenderedPageBreak/>
        <w:t xml:space="preserve">appreciate the stakeholder engagement to date, formalization of a working group representing </w:t>
      </w:r>
      <w:r w:rsidR="00C9468F" w:rsidRPr="00C17C50">
        <w:rPr>
          <w:rFonts w:asciiTheme="minorHAnsi" w:hAnsiTheme="minorHAnsi" w:cstheme="minorHAnsi"/>
          <w:sz w:val="22"/>
          <w:szCs w:val="22"/>
        </w:rPr>
        <w:t xml:space="preserve">all </w:t>
      </w:r>
      <w:r w:rsidRPr="00C17C50">
        <w:rPr>
          <w:rFonts w:asciiTheme="minorHAnsi" w:hAnsiTheme="minorHAnsi" w:cstheme="minorHAnsi"/>
          <w:sz w:val="22"/>
          <w:szCs w:val="22"/>
        </w:rPr>
        <w:t xml:space="preserve">post-acute care settings would promote shared dialogue between stakeholders, rather than </w:t>
      </w:r>
      <w:r w:rsidR="00B3454B">
        <w:rPr>
          <w:rFonts w:asciiTheme="minorHAnsi" w:hAnsiTheme="minorHAnsi" w:cstheme="minorHAnsi"/>
          <w:sz w:val="22"/>
          <w:szCs w:val="22"/>
        </w:rPr>
        <w:t>only</w:t>
      </w:r>
      <w:r w:rsidR="00B3454B" w:rsidRPr="00C17C50">
        <w:rPr>
          <w:rFonts w:asciiTheme="minorHAnsi" w:hAnsiTheme="minorHAnsi" w:cstheme="minorHAnsi"/>
          <w:sz w:val="22"/>
          <w:szCs w:val="22"/>
        </w:rPr>
        <w:t xml:space="preserve"> </w:t>
      </w:r>
      <w:r w:rsidRPr="00C17C50">
        <w:rPr>
          <w:rFonts w:asciiTheme="minorHAnsi" w:hAnsiTheme="minorHAnsi" w:cstheme="minorHAnsi"/>
          <w:sz w:val="22"/>
          <w:szCs w:val="22"/>
        </w:rPr>
        <w:t xml:space="preserve">between individual stakeholders and CMS. </w:t>
      </w:r>
    </w:p>
    <w:p w14:paraId="0AD69934" w14:textId="77777777" w:rsidR="001137C1" w:rsidRPr="00C17C50" w:rsidRDefault="001137C1" w:rsidP="001137C1">
      <w:pPr>
        <w:pStyle w:val="Default"/>
        <w:numPr>
          <w:ilvl w:val="0"/>
          <w:numId w:val="6"/>
        </w:numPr>
        <w:rPr>
          <w:rFonts w:asciiTheme="minorHAnsi" w:hAnsiTheme="minorHAnsi" w:cstheme="minorHAnsi"/>
          <w:sz w:val="22"/>
          <w:szCs w:val="22"/>
        </w:rPr>
      </w:pPr>
      <w:r w:rsidRPr="00C17C50">
        <w:rPr>
          <w:rFonts w:asciiTheme="minorHAnsi" w:hAnsiTheme="minorHAnsi" w:cstheme="minorHAnsi"/>
          <w:b/>
          <w:sz w:val="22"/>
          <w:szCs w:val="22"/>
        </w:rPr>
        <w:t>Data analytics advisory group</w:t>
      </w:r>
      <w:r w:rsidRPr="00C17C50">
        <w:rPr>
          <w:rFonts w:asciiTheme="minorHAnsi" w:hAnsiTheme="minorHAnsi" w:cstheme="minorHAnsi"/>
          <w:sz w:val="22"/>
          <w:szCs w:val="22"/>
        </w:rPr>
        <w:t xml:space="preserve"> to assist CMS and its contractors in establishing a framework for SPADE analysis and ongoing assessment. </w:t>
      </w:r>
    </w:p>
    <w:p w14:paraId="65C025F2" w14:textId="77777777" w:rsidR="00BD77AA" w:rsidRPr="00C17C50" w:rsidRDefault="00BD77AA" w:rsidP="00BD77AA">
      <w:pPr>
        <w:pStyle w:val="Default"/>
        <w:rPr>
          <w:rFonts w:asciiTheme="minorHAnsi" w:hAnsiTheme="minorHAnsi" w:cstheme="minorHAnsi"/>
          <w:sz w:val="22"/>
          <w:szCs w:val="22"/>
        </w:rPr>
      </w:pPr>
    </w:p>
    <w:p w14:paraId="177CAEC0" w14:textId="4A467AA0" w:rsidR="007870A5" w:rsidRPr="00C17C50" w:rsidRDefault="00BD77AA" w:rsidP="0060743D">
      <w:pPr>
        <w:pStyle w:val="Default"/>
        <w:rPr>
          <w:rFonts w:asciiTheme="minorHAnsi" w:eastAsiaTheme="minorEastAsia" w:hAnsiTheme="minorHAnsi" w:cstheme="minorHAnsi"/>
          <w:b/>
          <w:bCs/>
          <w:smallCaps/>
          <w:spacing w:val="-1"/>
          <w:sz w:val="22"/>
          <w:szCs w:val="22"/>
        </w:rPr>
      </w:pPr>
      <w:r w:rsidRPr="00C17C50">
        <w:rPr>
          <w:rFonts w:asciiTheme="minorHAnsi" w:eastAsiaTheme="minorEastAsia" w:hAnsiTheme="minorHAnsi" w:cstheme="minorHAnsi"/>
          <w:b/>
          <w:bCs/>
          <w:smallCaps/>
          <w:spacing w:val="-1"/>
          <w:sz w:val="22"/>
          <w:szCs w:val="22"/>
        </w:rPr>
        <w:t>Site-</w:t>
      </w:r>
      <w:r w:rsidR="007F7E64" w:rsidRPr="00C17C50">
        <w:rPr>
          <w:rFonts w:asciiTheme="minorHAnsi" w:eastAsiaTheme="minorEastAsia" w:hAnsiTheme="minorHAnsi" w:cstheme="minorHAnsi"/>
          <w:b/>
          <w:bCs/>
          <w:smallCaps/>
          <w:spacing w:val="-1"/>
          <w:sz w:val="22"/>
          <w:szCs w:val="22"/>
        </w:rPr>
        <w:t>N</w:t>
      </w:r>
      <w:r w:rsidRPr="00C17C50">
        <w:rPr>
          <w:rFonts w:asciiTheme="minorHAnsi" w:eastAsiaTheme="minorEastAsia" w:hAnsiTheme="minorHAnsi" w:cstheme="minorHAnsi"/>
          <w:b/>
          <w:bCs/>
          <w:smallCaps/>
          <w:spacing w:val="-1"/>
          <w:sz w:val="22"/>
          <w:szCs w:val="22"/>
        </w:rPr>
        <w:t xml:space="preserve">eutral Payments </w:t>
      </w:r>
    </w:p>
    <w:p w14:paraId="7276BEB8" w14:textId="0B074DD9" w:rsidR="0060743D" w:rsidRPr="00C17C50" w:rsidRDefault="00587379" w:rsidP="00092762">
      <w:pPr>
        <w:pStyle w:val="Default"/>
        <w:rPr>
          <w:rFonts w:asciiTheme="minorHAnsi" w:hAnsiTheme="minorHAnsi" w:cstheme="minorHAnsi"/>
          <w:sz w:val="22"/>
          <w:szCs w:val="22"/>
        </w:rPr>
      </w:pPr>
      <w:r w:rsidRPr="00C17C50">
        <w:rPr>
          <w:rFonts w:asciiTheme="minorHAnsi" w:hAnsiTheme="minorHAnsi" w:cstheme="minorHAnsi"/>
          <w:sz w:val="22"/>
          <w:szCs w:val="22"/>
        </w:rPr>
        <w:t>CMS implemented a dual</w:t>
      </w:r>
      <w:r w:rsidR="007F7E64" w:rsidRPr="00C17C50">
        <w:rPr>
          <w:rFonts w:asciiTheme="minorHAnsi" w:hAnsiTheme="minorHAnsi" w:cstheme="minorHAnsi"/>
          <w:sz w:val="22"/>
          <w:szCs w:val="22"/>
        </w:rPr>
        <w:t>-</w:t>
      </w:r>
      <w:r w:rsidRPr="00C17C50">
        <w:rPr>
          <w:rFonts w:asciiTheme="minorHAnsi" w:hAnsiTheme="minorHAnsi" w:cstheme="minorHAnsi"/>
          <w:sz w:val="22"/>
          <w:szCs w:val="22"/>
        </w:rPr>
        <w:t xml:space="preserve">rate payment system beginning </w:t>
      </w:r>
      <w:r w:rsidR="007F7E64" w:rsidRPr="00C17C50">
        <w:rPr>
          <w:rFonts w:asciiTheme="minorHAnsi" w:hAnsiTheme="minorHAnsi" w:cstheme="minorHAnsi"/>
          <w:sz w:val="22"/>
          <w:szCs w:val="22"/>
        </w:rPr>
        <w:t xml:space="preserve">with </w:t>
      </w:r>
      <w:r w:rsidRPr="00C17C50">
        <w:rPr>
          <w:rFonts w:asciiTheme="minorHAnsi" w:hAnsiTheme="minorHAnsi" w:cstheme="minorHAnsi"/>
          <w:sz w:val="22"/>
          <w:szCs w:val="22"/>
        </w:rPr>
        <w:t>cost</w:t>
      </w:r>
      <w:r w:rsidR="007F7E64" w:rsidRPr="00C17C50">
        <w:rPr>
          <w:rFonts w:asciiTheme="minorHAnsi" w:hAnsiTheme="minorHAnsi" w:cstheme="minorHAnsi"/>
          <w:sz w:val="22"/>
          <w:szCs w:val="22"/>
        </w:rPr>
        <w:t xml:space="preserve"> </w:t>
      </w:r>
      <w:r w:rsidRPr="00C17C50">
        <w:rPr>
          <w:rFonts w:asciiTheme="minorHAnsi" w:hAnsiTheme="minorHAnsi" w:cstheme="minorHAnsi"/>
          <w:sz w:val="22"/>
          <w:szCs w:val="22"/>
        </w:rPr>
        <w:t>reporting years that began on or after October 1, 2015. Under the dual-rate system</w:t>
      </w:r>
      <w:r w:rsidR="007F7E64" w:rsidRPr="00C17C50">
        <w:rPr>
          <w:rFonts w:asciiTheme="minorHAnsi" w:hAnsiTheme="minorHAnsi" w:cstheme="minorHAnsi"/>
          <w:sz w:val="22"/>
          <w:szCs w:val="22"/>
        </w:rPr>
        <w:t>,</w:t>
      </w:r>
      <w:r w:rsidRPr="00C17C50">
        <w:rPr>
          <w:rFonts w:asciiTheme="minorHAnsi" w:hAnsiTheme="minorHAnsi" w:cstheme="minorHAnsi"/>
          <w:sz w:val="22"/>
          <w:szCs w:val="22"/>
        </w:rPr>
        <w:t xml:space="preserve"> patients </w:t>
      </w:r>
      <w:r w:rsidR="007F7E64" w:rsidRPr="00C17C50">
        <w:rPr>
          <w:rFonts w:asciiTheme="minorHAnsi" w:hAnsiTheme="minorHAnsi" w:cstheme="minorHAnsi"/>
          <w:sz w:val="22"/>
          <w:szCs w:val="22"/>
        </w:rPr>
        <w:t xml:space="preserve">who </w:t>
      </w:r>
      <w:r w:rsidRPr="00C17C50">
        <w:rPr>
          <w:rFonts w:asciiTheme="minorHAnsi" w:hAnsiTheme="minorHAnsi" w:cstheme="minorHAnsi"/>
          <w:sz w:val="22"/>
          <w:szCs w:val="22"/>
        </w:rPr>
        <w:t xml:space="preserve">do not meet specified criteria for LTCH PPS payment are paid a site-neutral rate. </w:t>
      </w:r>
      <w:r w:rsidR="00BD77AA" w:rsidRPr="00C17C50">
        <w:rPr>
          <w:rFonts w:asciiTheme="minorHAnsi" w:hAnsiTheme="minorHAnsi" w:cstheme="minorHAnsi"/>
          <w:sz w:val="22"/>
          <w:szCs w:val="22"/>
        </w:rPr>
        <w:t xml:space="preserve">LTCH site-neutral cases </w:t>
      </w:r>
      <w:r w:rsidRPr="00C17C50">
        <w:rPr>
          <w:rFonts w:asciiTheme="minorHAnsi" w:hAnsiTheme="minorHAnsi" w:cstheme="minorHAnsi"/>
          <w:sz w:val="22"/>
          <w:szCs w:val="22"/>
        </w:rPr>
        <w:t xml:space="preserve">are defined as patients who </w:t>
      </w:r>
      <w:r w:rsidR="00BD77AA" w:rsidRPr="00C17C50">
        <w:rPr>
          <w:rFonts w:asciiTheme="minorHAnsi" w:hAnsiTheme="minorHAnsi" w:cstheme="minorHAnsi"/>
          <w:sz w:val="22"/>
          <w:szCs w:val="22"/>
        </w:rPr>
        <w:t>have a principal LTCH diagnosis related to a psychiatric condition or rehabilitation condition</w:t>
      </w:r>
      <w:r w:rsidRPr="00C17C50">
        <w:rPr>
          <w:rFonts w:asciiTheme="minorHAnsi" w:hAnsiTheme="minorHAnsi" w:cstheme="minorHAnsi"/>
          <w:sz w:val="22"/>
          <w:szCs w:val="22"/>
        </w:rPr>
        <w:t xml:space="preserve">, </w:t>
      </w:r>
      <w:r w:rsidR="00BD77AA" w:rsidRPr="00C17C50">
        <w:rPr>
          <w:rFonts w:asciiTheme="minorHAnsi" w:hAnsiTheme="minorHAnsi" w:cstheme="minorHAnsi"/>
          <w:sz w:val="22"/>
          <w:szCs w:val="22"/>
        </w:rPr>
        <w:t xml:space="preserve">lack either three or more days of care in an intensive care unit during the prior hospital stay </w:t>
      </w:r>
      <w:r w:rsidR="007F7E64" w:rsidRPr="00C17C50">
        <w:rPr>
          <w:rFonts w:asciiTheme="minorHAnsi" w:hAnsiTheme="minorHAnsi" w:cstheme="minorHAnsi"/>
          <w:sz w:val="22"/>
          <w:szCs w:val="22"/>
        </w:rPr>
        <w:t>or</w:t>
      </w:r>
      <w:r w:rsidR="00BD77AA" w:rsidRPr="00C17C50">
        <w:rPr>
          <w:rFonts w:asciiTheme="minorHAnsi" w:hAnsiTheme="minorHAnsi" w:cstheme="minorHAnsi"/>
          <w:sz w:val="22"/>
          <w:szCs w:val="22"/>
        </w:rPr>
        <w:t xml:space="preserve"> a qualifying procedure code for 96+ hours of ventilator care in the LTCH</w:t>
      </w:r>
      <w:r w:rsidRPr="00C17C50">
        <w:rPr>
          <w:rFonts w:asciiTheme="minorHAnsi" w:hAnsiTheme="minorHAnsi" w:cstheme="minorHAnsi"/>
          <w:sz w:val="22"/>
          <w:szCs w:val="22"/>
        </w:rPr>
        <w:t>, or are not transferred within one day from a general acute</w:t>
      </w:r>
      <w:r w:rsidR="007F7E64" w:rsidRPr="00C17C50">
        <w:rPr>
          <w:rFonts w:asciiTheme="minorHAnsi" w:hAnsiTheme="minorHAnsi" w:cstheme="minorHAnsi"/>
          <w:sz w:val="22"/>
          <w:szCs w:val="22"/>
        </w:rPr>
        <w:t xml:space="preserve"> </w:t>
      </w:r>
      <w:r w:rsidRPr="00C17C50">
        <w:rPr>
          <w:rFonts w:asciiTheme="minorHAnsi" w:hAnsiTheme="minorHAnsi" w:cstheme="minorHAnsi"/>
          <w:sz w:val="22"/>
          <w:szCs w:val="22"/>
        </w:rPr>
        <w:t xml:space="preserve">care hospital to an LTCH.  </w:t>
      </w:r>
    </w:p>
    <w:p w14:paraId="507F93F3" w14:textId="77777777" w:rsidR="00587379" w:rsidRPr="00C17C50" w:rsidRDefault="00587379" w:rsidP="00092762">
      <w:pPr>
        <w:pStyle w:val="Default"/>
        <w:rPr>
          <w:rFonts w:asciiTheme="minorHAnsi" w:hAnsiTheme="minorHAnsi" w:cstheme="minorHAnsi"/>
          <w:b/>
          <w:sz w:val="22"/>
          <w:szCs w:val="22"/>
        </w:rPr>
      </w:pPr>
    </w:p>
    <w:p w14:paraId="495BBBE6" w14:textId="622AD66B" w:rsidR="00694A1C" w:rsidRPr="00C17C50" w:rsidRDefault="00694A1C" w:rsidP="00092762">
      <w:pPr>
        <w:pStyle w:val="Default"/>
        <w:rPr>
          <w:rFonts w:asciiTheme="minorHAnsi" w:hAnsiTheme="minorHAnsi" w:cstheme="minorHAnsi"/>
          <w:b/>
          <w:sz w:val="22"/>
          <w:szCs w:val="22"/>
        </w:rPr>
      </w:pPr>
      <w:r w:rsidRPr="00C17C50">
        <w:rPr>
          <w:rFonts w:asciiTheme="minorHAnsi" w:hAnsiTheme="minorHAnsi" w:cstheme="minorHAnsi"/>
          <w:b/>
          <w:sz w:val="22"/>
          <w:szCs w:val="22"/>
        </w:rPr>
        <w:t>In the current proposed rule, CMS applies a 5.1</w:t>
      </w:r>
      <w:r w:rsidR="007F7E64" w:rsidRPr="00C17C50">
        <w:rPr>
          <w:rFonts w:asciiTheme="minorHAnsi" w:hAnsiTheme="minorHAnsi" w:cstheme="minorHAnsi"/>
          <w:b/>
          <w:sz w:val="22"/>
          <w:szCs w:val="22"/>
        </w:rPr>
        <w:t>%</w:t>
      </w:r>
      <w:r w:rsidRPr="00C17C50">
        <w:rPr>
          <w:rFonts w:asciiTheme="minorHAnsi" w:hAnsiTheme="minorHAnsi" w:cstheme="minorHAnsi"/>
          <w:b/>
          <w:sz w:val="22"/>
          <w:szCs w:val="22"/>
        </w:rPr>
        <w:t xml:space="preserve"> BNA to the base portion of the site-neutral payment. CHA believes that this application is duplicative and results in an unwarranted and excessive reduction in payment rates.  </w:t>
      </w:r>
    </w:p>
    <w:p w14:paraId="5F44529A" w14:textId="77777777" w:rsidR="00694A1C" w:rsidRPr="00C17C50" w:rsidRDefault="00694A1C" w:rsidP="00092762">
      <w:pPr>
        <w:pStyle w:val="Default"/>
        <w:rPr>
          <w:rFonts w:asciiTheme="minorHAnsi" w:hAnsiTheme="minorHAnsi" w:cstheme="minorHAnsi"/>
          <w:sz w:val="22"/>
          <w:szCs w:val="22"/>
        </w:rPr>
      </w:pPr>
    </w:p>
    <w:p w14:paraId="5B21B4F0" w14:textId="11D05487" w:rsidR="00D948F2" w:rsidRPr="00C17C50" w:rsidRDefault="00587379" w:rsidP="00C17566">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To determine the site-neutral rate, CMS calculates </w:t>
      </w:r>
      <w:r w:rsidR="00694A1C" w:rsidRPr="00C17C50">
        <w:rPr>
          <w:rFonts w:asciiTheme="minorHAnsi" w:hAnsiTheme="minorHAnsi" w:cstheme="minorHAnsi"/>
          <w:sz w:val="22"/>
          <w:szCs w:val="22"/>
        </w:rPr>
        <w:t>an IPPS-comparable rate using the corresponding IPPS rates, which have already been subject to a 5.1% BNA reduction. Nevertheless, CMS applies a second 5.1% BNA reduction to the site-neutral portion of the LTCH rate. CHA believes that the implementation of the dual</w:t>
      </w:r>
      <w:r w:rsidR="007F7E64" w:rsidRPr="00C17C50">
        <w:rPr>
          <w:rFonts w:asciiTheme="minorHAnsi" w:hAnsiTheme="minorHAnsi" w:cstheme="minorHAnsi"/>
          <w:sz w:val="22"/>
          <w:szCs w:val="22"/>
        </w:rPr>
        <w:t>-</w:t>
      </w:r>
      <w:r w:rsidR="00694A1C" w:rsidRPr="00C17C50">
        <w:rPr>
          <w:rFonts w:asciiTheme="minorHAnsi" w:hAnsiTheme="minorHAnsi" w:cstheme="minorHAnsi"/>
          <w:sz w:val="22"/>
          <w:szCs w:val="22"/>
        </w:rPr>
        <w:t xml:space="preserve">rate payment system </w:t>
      </w:r>
      <w:r w:rsidR="00C17566" w:rsidRPr="00C17C50">
        <w:rPr>
          <w:rFonts w:asciiTheme="minorHAnsi" w:hAnsiTheme="minorHAnsi" w:cstheme="minorHAnsi"/>
          <w:sz w:val="22"/>
          <w:szCs w:val="22"/>
        </w:rPr>
        <w:t xml:space="preserve">has resulted in underpayment for </w:t>
      </w:r>
      <w:r w:rsidR="007F7E64" w:rsidRPr="00C17C50">
        <w:rPr>
          <w:rFonts w:asciiTheme="minorHAnsi" w:hAnsiTheme="minorHAnsi" w:cstheme="minorHAnsi"/>
          <w:sz w:val="22"/>
          <w:szCs w:val="22"/>
        </w:rPr>
        <w:t xml:space="preserve">not only </w:t>
      </w:r>
      <w:r w:rsidR="00C17566" w:rsidRPr="00C17C50">
        <w:rPr>
          <w:rFonts w:asciiTheme="minorHAnsi" w:hAnsiTheme="minorHAnsi" w:cstheme="minorHAnsi"/>
          <w:sz w:val="22"/>
          <w:szCs w:val="22"/>
        </w:rPr>
        <w:t xml:space="preserve">patients who </w:t>
      </w:r>
      <w:r w:rsidR="00694A1C" w:rsidRPr="00C17C50">
        <w:rPr>
          <w:rFonts w:asciiTheme="minorHAnsi" w:hAnsiTheme="minorHAnsi" w:cstheme="minorHAnsi"/>
          <w:sz w:val="22"/>
          <w:szCs w:val="22"/>
        </w:rPr>
        <w:t>require LTCH care</w:t>
      </w:r>
      <w:r w:rsidR="007F7E64" w:rsidRPr="00C17C50">
        <w:rPr>
          <w:rFonts w:asciiTheme="minorHAnsi" w:hAnsiTheme="minorHAnsi" w:cstheme="minorHAnsi"/>
          <w:sz w:val="22"/>
          <w:szCs w:val="22"/>
        </w:rPr>
        <w:t>, but also</w:t>
      </w:r>
      <w:r w:rsidR="00694A1C" w:rsidRPr="00C17C50">
        <w:rPr>
          <w:rFonts w:asciiTheme="minorHAnsi" w:hAnsiTheme="minorHAnsi" w:cstheme="minorHAnsi"/>
          <w:sz w:val="22"/>
          <w:szCs w:val="22"/>
        </w:rPr>
        <w:t xml:space="preserve"> those who may not meet LTCH PPS criteria but nevertheless require ongoing complex care at the acute level</w:t>
      </w:r>
      <w:r w:rsidR="00C17566" w:rsidRPr="00C17C50">
        <w:rPr>
          <w:rFonts w:asciiTheme="minorHAnsi" w:hAnsiTheme="minorHAnsi" w:cstheme="minorHAnsi"/>
          <w:sz w:val="22"/>
          <w:szCs w:val="22"/>
        </w:rPr>
        <w:t xml:space="preserve">. The duplicative application of BNAs, which CMS proposes to continue, results in continued excessive reductions in payment levels for medically necessary care and may </w:t>
      </w:r>
      <w:r w:rsidR="007F7E64" w:rsidRPr="00C17C50">
        <w:rPr>
          <w:rFonts w:asciiTheme="minorHAnsi" w:hAnsiTheme="minorHAnsi" w:cstheme="minorHAnsi"/>
          <w:sz w:val="22"/>
          <w:szCs w:val="22"/>
        </w:rPr>
        <w:t>limit</w:t>
      </w:r>
      <w:r w:rsidR="00C17566" w:rsidRPr="00C17C50">
        <w:rPr>
          <w:rFonts w:asciiTheme="minorHAnsi" w:hAnsiTheme="minorHAnsi" w:cstheme="minorHAnsi"/>
          <w:sz w:val="22"/>
          <w:szCs w:val="22"/>
        </w:rPr>
        <w:t xml:space="preserve"> patient</w:t>
      </w:r>
      <w:r w:rsidR="007F7E64" w:rsidRPr="00C17C50">
        <w:rPr>
          <w:rFonts w:asciiTheme="minorHAnsi" w:hAnsiTheme="minorHAnsi" w:cstheme="minorHAnsi"/>
          <w:sz w:val="22"/>
          <w:szCs w:val="22"/>
        </w:rPr>
        <w:t>s’</w:t>
      </w:r>
      <w:r w:rsidR="00C17566" w:rsidRPr="00C17C50">
        <w:rPr>
          <w:rFonts w:asciiTheme="minorHAnsi" w:hAnsiTheme="minorHAnsi" w:cstheme="minorHAnsi"/>
          <w:sz w:val="22"/>
          <w:szCs w:val="22"/>
        </w:rPr>
        <w:t xml:space="preserve"> access to LTCHs.   </w:t>
      </w:r>
    </w:p>
    <w:p w14:paraId="3727309B" w14:textId="77777777" w:rsidR="0060743D" w:rsidRPr="00C17C50" w:rsidRDefault="0060743D" w:rsidP="0060743D">
      <w:pPr>
        <w:pStyle w:val="Default"/>
        <w:rPr>
          <w:rFonts w:asciiTheme="minorHAnsi" w:hAnsiTheme="minorHAnsi" w:cstheme="minorHAnsi"/>
          <w:sz w:val="22"/>
          <w:szCs w:val="22"/>
        </w:rPr>
      </w:pPr>
    </w:p>
    <w:p w14:paraId="758086D8" w14:textId="77777777" w:rsidR="00C17566" w:rsidRPr="00C17C50" w:rsidRDefault="004B2FDA" w:rsidP="00C17566">
      <w:pPr>
        <w:pStyle w:val="Default"/>
        <w:rPr>
          <w:rFonts w:asciiTheme="minorHAnsi" w:hAnsiTheme="minorHAnsi" w:cstheme="minorHAnsi"/>
          <w:b/>
          <w:smallCaps/>
          <w:sz w:val="22"/>
          <w:szCs w:val="22"/>
          <w:highlight w:val="yellow"/>
        </w:rPr>
      </w:pPr>
      <w:r w:rsidRPr="00C17C50">
        <w:rPr>
          <w:rFonts w:asciiTheme="minorHAnsi" w:hAnsiTheme="minorHAnsi" w:cstheme="minorHAnsi"/>
          <w:b/>
          <w:sz w:val="22"/>
          <w:szCs w:val="22"/>
        </w:rPr>
        <w:t>CHA encourages CMS to</w:t>
      </w:r>
      <w:r w:rsidR="00C17566" w:rsidRPr="00C17C50">
        <w:rPr>
          <w:rFonts w:asciiTheme="minorHAnsi" w:hAnsiTheme="minorHAnsi" w:cstheme="minorHAnsi"/>
          <w:b/>
          <w:sz w:val="22"/>
          <w:szCs w:val="22"/>
        </w:rPr>
        <w:t xml:space="preserve"> eliminate the duplicative BNA adjustment to the site-neutral LTCH payment.  </w:t>
      </w:r>
    </w:p>
    <w:p w14:paraId="5EC1F2D2" w14:textId="77777777" w:rsidR="00C17566" w:rsidRPr="00C17C50" w:rsidRDefault="00C17566" w:rsidP="00481569">
      <w:pPr>
        <w:tabs>
          <w:tab w:val="left" w:pos="9180"/>
        </w:tabs>
        <w:spacing w:after="0" w:line="240" w:lineRule="auto"/>
        <w:rPr>
          <w:rFonts w:cstheme="minorHAnsi"/>
          <w:b/>
          <w:smallCaps/>
          <w:highlight w:val="yellow"/>
        </w:rPr>
      </w:pPr>
    </w:p>
    <w:p w14:paraId="518D40EC" w14:textId="77777777" w:rsidR="00C17566" w:rsidRPr="00C17C50" w:rsidRDefault="00C17566" w:rsidP="00481569">
      <w:pPr>
        <w:tabs>
          <w:tab w:val="left" w:pos="9180"/>
        </w:tabs>
        <w:spacing w:after="0" w:line="240" w:lineRule="auto"/>
        <w:rPr>
          <w:rFonts w:cstheme="minorHAnsi"/>
          <w:b/>
          <w:smallCaps/>
        </w:rPr>
      </w:pPr>
      <w:r w:rsidRPr="00C17C50">
        <w:rPr>
          <w:rFonts w:cstheme="minorHAnsi"/>
          <w:b/>
          <w:smallCaps/>
        </w:rPr>
        <w:t xml:space="preserve">50% Rule </w:t>
      </w:r>
    </w:p>
    <w:p w14:paraId="33008762" w14:textId="199814A6" w:rsidR="00C17566" w:rsidRPr="00C17C50" w:rsidRDefault="00C17566" w:rsidP="00481569">
      <w:pPr>
        <w:tabs>
          <w:tab w:val="left" w:pos="9180"/>
        </w:tabs>
        <w:spacing w:after="0" w:line="240" w:lineRule="auto"/>
        <w:rPr>
          <w:rFonts w:eastAsia="Calibri" w:cstheme="minorHAnsi"/>
        </w:rPr>
      </w:pPr>
      <w:r w:rsidRPr="00C17C50">
        <w:rPr>
          <w:rFonts w:eastAsia="Calibri" w:cstheme="minorHAnsi"/>
        </w:rPr>
        <w:t>Effective FFY 2020, CMS proposes to require that at least 50</w:t>
      </w:r>
      <w:r w:rsidR="007F7E64" w:rsidRPr="00C17C50">
        <w:rPr>
          <w:rFonts w:eastAsia="Calibri" w:cstheme="minorHAnsi"/>
        </w:rPr>
        <w:t>%</w:t>
      </w:r>
      <w:r w:rsidRPr="00C17C50">
        <w:rPr>
          <w:rFonts w:eastAsia="Calibri" w:cstheme="minorHAnsi"/>
        </w:rPr>
        <w:t xml:space="preserve"> of an LTCH’s Medicare fee-for-service </w:t>
      </w:r>
      <w:r w:rsidR="001A1478" w:rsidRPr="00C17C50">
        <w:rPr>
          <w:rFonts w:eastAsia="Calibri" w:cstheme="minorHAnsi"/>
        </w:rPr>
        <w:t xml:space="preserve">(FFS) </w:t>
      </w:r>
      <w:r w:rsidRPr="00C17C50">
        <w:rPr>
          <w:rFonts w:eastAsia="Calibri" w:cstheme="minorHAnsi"/>
        </w:rPr>
        <w:t xml:space="preserve">patients be eligible for standard LTCH PPS payment. </w:t>
      </w:r>
      <w:r w:rsidR="001A1478" w:rsidRPr="00C17C50">
        <w:rPr>
          <w:rFonts w:eastAsia="Calibri" w:cstheme="minorHAnsi"/>
        </w:rPr>
        <w:t>LTCHs whose patient population does not meet this threshold would have all of their FFS cases in a subsequent cost reporting period reduced to an amount</w:t>
      </w:r>
      <w:r w:rsidR="004C319C" w:rsidRPr="00C17C50">
        <w:rPr>
          <w:rFonts w:eastAsia="Calibri" w:cstheme="minorHAnsi"/>
        </w:rPr>
        <w:t xml:space="preserve"> similar to IPPS payment</w:t>
      </w:r>
      <w:r w:rsidR="001A1478" w:rsidRPr="00C17C50">
        <w:rPr>
          <w:rFonts w:eastAsia="Calibri" w:cstheme="minorHAnsi"/>
        </w:rPr>
        <w:t xml:space="preserve">.  </w:t>
      </w:r>
    </w:p>
    <w:p w14:paraId="365698CA" w14:textId="77777777" w:rsidR="001A1478" w:rsidRPr="00C17C50" w:rsidRDefault="001A1478" w:rsidP="00481569">
      <w:pPr>
        <w:tabs>
          <w:tab w:val="left" w:pos="9180"/>
        </w:tabs>
        <w:spacing w:after="0" w:line="240" w:lineRule="auto"/>
        <w:rPr>
          <w:rFonts w:eastAsia="Calibri" w:cstheme="minorHAnsi"/>
        </w:rPr>
      </w:pPr>
    </w:p>
    <w:p w14:paraId="33303D39" w14:textId="39F9DCAC" w:rsidR="00C17566" w:rsidRPr="00C17C50" w:rsidRDefault="001A1478" w:rsidP="00481569">
      <w:pPr>
        <w:tabs>
          <w:tab w:val="left" w:pos="9180"/>
        </w:tabs>
        <w:spacing w:after="0" w:line="240" w:lineRule="auto"/>
        <w:rPr>
          <w:rFonts w:eastAsia="Calibri" w:cstheme="minorHAnsi"/>
        </w:rPr>
      </w:pPr>
      <w:r w:rsidRPr="00C17C50">
        <w:rPr>
          <w:rFonts w:eastAsia="Calibri" w:cstheme="minorHAnsi"/>
        </w:rPr>
        <w:t>CMS notes that</w:t>
      </w:r>
      <w:r w:rsidR="004C319C" w:rsidRPr="00C17C50">
        <w:rPr>
          <w:rFonts w:eastAsia="Calibri" w:cstheme="minorHAnsi"/>
        </w:rPr>
        <w:t>,</w:t>
      </w:r>
      <w:r w:rsidRPr="00C17C50">
        <w:rPr>
          <w:rFonts w:eastAsia="Calibri" w:cstheme="minorHAnsi"/>
        </w:rPr>
        <w:t xml:space="preserve"> because compliance with the </w:t>
      </w:r>
      <w:r w:rsidR="004C319C" w:rsidRPr="00C17C50">
        <w:rPr>
          <w:rFonts w:eastAsia="Calibri" w:cstheme="minorHAnsi"/>
        </w:rPr>
        <w:t xml:space="preserve">so-called </w:t>
      </w:r>
      <w:r w:rsidRPr="00C17C50">
        <w:rPr>
          <w:rFonts w:eastAsia="Calibri" w:cstheme="minorHAnsi"/>
        </w:rPr>
        <w:t xml:space="preserve">“50% </w:t>
      </w:r>
      <w:r w:rsidR="004C319C" w:rsidRPr="00C17C50">
        <w:rPr>
          <w:rFonts w:eastAsia="Calibri" w:cstheme="minorHAnsi"/>
        </w:rPr>
        <w:t>r</w:t>
      </w:r>
      <w:r w:rsidRPr="00C17C50">
        <w:rPr>
          <w:rFonts w:eastAsia="Calibri" w:cstheme="minorHAnsi"/>
        </w:rPr>
        <w:t xml:space="preserve">ule” cannot be calculated until a cost reporting year has ended, facilities would not be informed of their non-compliance until </w:t>
      </w:r>
      <w:r w:rsidR="004C319C" w:rsidRPr="00C17C50">
        <w:rPr>
          <w:rFonts w:eastAsia="Calibri" w:cstheme="minorHAnsi"/>
        </w:rPr>
        <w:t xml:space="preserve">five to six </w:t>
      </w:r>
      <w:r w:rsidRPr="00C17C50">
        <w:rPr>
          <w:rFonts w:eastAsia="Calibri" w:cstheme="minorHAnsi"/>
        </w:rPr>
        <w:t>months after the end of the cost</w:t>
      </w:r>
      <w:r w:rsidR="004C319C" w:rsidRPr="00C17C50">
        <w:rPr>
          <w:rFonts w:eastAsia="Calibri" w:cstheme="minorHAnsi"/>
        </w:rPr>
        <w:t xml:space="preserve"> </w:t>
      </w:r>
      <w:r w:rsidRPr="00C17C50">
        <w:rPr>
          <w:rFonts w:eastAsia="Calibri" w:cstheme="minorHAnsi"/>
        </w:rPr>
        <w:t xml:space="preserve">reporting year. CMS now proposes that payment adjustments related to non-compliance with the 50% rule would be applied to the first cost reporting period after compliance has been calculated and the provider has been notified. As an example, an LTCH found to be non-compliant for a cost reporting year beginning in FFY 2020 would not be subject to reduced rates for the cost reporting period beginning in FFY 2022.  </w:t>
      </w:r>
    </w:p>
    <w:p w14:paraId="5CA98441" w14:textId="77777777" w:rsidR="001A1478" w:rsidRPr="00C17C50" w:rsidRDefault="001A1478" w:rsidP="00481569">
      <w:pPr>
        <w:tabs>
          <w:tab w:val="left" w:pos="9180"/>
        </w:tabs>
        <w:spacing w:after="0" w:line="240" w:lineRule="auto"/>
        <w:rPr>
          <w:rFonts w:eastAsia="Calibri" w:cstheme="minorHAnsi"/>
        </w:rPr>
      </w:pPr>
    </w:p>
    <w:p w14:paraId="6E439591" w14:textId="631F62D6" w:rsidR="00980481" w:rsidRPr="00C17C50" w:rsidRDefault="001A1478" w:rsidP="00481569">
      <w:pPr>
        <w:tabs>
          <w:tab w:val="left" w:pos="9180"/>
        </w:tabs>
        <w:spacing w:after="0" w:line="240" w:lineRule="auto"/>
        <w:rPr>
          <w:rFonts w:eastAsia="Calibri" w:cstheme="minorHAnsi"/>
        </w:rPr>
      </w:pPr>
      <w:r w:rsidRPr="00C17C50">
        <w:rPr>
          <w:rFonts w:eastAsia="Calibri" w:cstheme="minorHAnsi"/>
        </w:rPr>
        <w:t xml:space="preserve">CMS further proposes that payment rates would be restored in the cost reporting period immediately following the cost reporting period in which compliance is restored. Additionally, LTCHs could be eligible </w:t>
      </w:r>
      <w:r w:rsidRPr="00C17C50">
        <w:rPr>
          <w:rFonts w:eastAsia="Calibri" w:cstheme="minorHAnsi"/>
        </w:rPr>
        <w:lastRenderedPageBreak/>
        <w:t>for a spe</w:t>
      </w:r>
      <w:r w:rsidR="00980481" w:rsidRPr="00C17C50">
        <w:rPr>
          <w:rFonts w:eastAsia="Calibri" w:cstheme="minorHAnsi"/>
        </w:rPr>
        <w:t>cial probationary reinstatement if compliance is restored for at least five of the six m</w:t>
      </w:r>
      <w:r w:rsidR="00C9468F" w:rsidRPr="00C17C50">
        <w:rPr>
          <w:rFonts w:eastAsia="Calibri" w:cstheme="minorHAnsi"/>
        </w:rPr>
        <w:t>on</w:t>
      </w:r>
      <w:r w:rsidR="00980481" w:rsidRPr="00C17C50">
        <w:rPr>
          <w:rFonts w:eastAsia="Calibri" w:cstheme="minorHAnsi"/>
        </w:rPr>
        <w:t xml:space="preserve">ths immediately preceding the cost reporting period subject to the reduction.  </w:t>
      </w:r>
    </w:p>
    <w:p w14:paraId="31CDC15B" w14:textId="77777777" w:rsidR="00980481" w:rsidRPr="00C17C50" w:rsidRDefault="00980481" w:rsidP="00481569">
      <w:pPr>
        <w:tabs>
          <w:tab w:val="left" w:pos="9180"/>
        </w:tabs>
        <w:spacing w:after="0" w:line="240" w:lineRule="auto"/>
        <w:rPr>
          <w:rFonts w:eastAsia="Calibri" w:cstheme="minorHAnsi"/>
        </w:rPr>
      </w:pPr>
    </w:p>
    <w:p w14:paraId="3D7F8644" w14:textId="7BD3B404" w:rsidR="00C17566" w:rsidRPr="00C17C50" w:rsidRDefault="00980481" w:rsidP="00481569">
      <w:pPr>
        <w:tabs>
          <w:tab w:val="left" w:pos="9180"/>
        </w:tabs>
        <w:spacing w:after="0" w:line="240" w:lineRule="auto"/>
        <w:rPr>
          <w:rFonts w:cstheme="minorHAnsi"/>
          <w:b/>
          <w:smallCaps/>
        </w:rPr>
      </w:pPr>
      <w:r w:rsidRPr="00C17C50">
        <w:rPr>
          <w:rFonts w:eastAsia="Calibri" w:cstheme="minorHAnsi"/>
        </w:rPr>
        <w:t xml:space="preserve">CHA recognizes the challenges of implementing cuts related to the 50% </w:t>
      </w:r>
      <w:r w:rsidR="004C319C" w:rsidRPr="00C17C50">
        <w:rPr>
          <w:rFonts w:eastAsia="Calibri" w:cstheme="minorHAnsi"/>
        </w:rPr>
        <w:t>r</w:t>
      </w:r>
      <w:r w:rsidRPr="00C17C50">
        <w:rPr>
          <w:rFonts w:eastAsia="Calibri" w:cstheme="minorHAnsi"/>
        </w:rPr>
        <w:t>ule in the context of cost reporting period</w:t>
      </w:r>
      <w:r w:rsidR="004C319C" w:rsidRPr="00C17C50">
        <w:rPr>
          <w:rFonts w:eastAsia="Calibri" w:cstheme="minorHAnsi"/>
        </w:rPr>
        <w:t>s</w:t>
      </w:r>
      <w:r w:rsidRPr="00C17C50">
        <w:rPr>
          <w:rFonts w:eastAsia="Calibri" w:cstheme="minorHAnsi"/>
        </w:rPr>
        <w:t xml:space="preserve"> and related times. </w:t>
      </w:r>
      <w:r w:rsidRPr="00C17C50">
        <w:rPr>
          <w:rFonts w:eastAsia="Calibri" w:cstheme="minorHAnsi"/>
          <w:b/>
          <w:bCs/>
        </w:rPr>
        <w:t>We are concerned, however, about of the impact of the sustained period of reduced payment that a facility will potentially encounter even after they have made corrections to their admission practices.</w:t>
      </w:r>
      <w:r w:rsidRPr="00C17C50">
        <w:rPr>
          <w:rFonts w:eastAsia="Calibri" w:cstheme="minorHAnsi"/>
        </w:rPr>
        <w:t xml:space="preserve"> </w:t>
      </w:r>
      <w:r w:rsidRPr="00C17C50">
        <w:rPr>
          <w:rFonts w:eastAsia="Calibri" w:cstheme="minorHAnsi"/>
          <w:b/>
          <w:bCs/>
        </w:rPr>
        <w:t xml:space="preserve">We appreciate CMS’ proposal of a special probationary period, but we encourage CMS to develop additional mechanisms </w:t>
      </w:r>
      <w:r w:rsidR="004C319C" w:rsidRPr="00C17C50">
        <w:rPr>
          <w:rFonts w:eastAsia="Calibri" w:cstheme="minorHAnsi"/>
          <w:b/>
          <w:bCs/>
        </w:rPr>
        <w:t>that</w:t>
      </w:r>
      <w:r w:rsidRPr="00C17C50">
        <w:rPr>
          <w:rFonts w:eastAsia="Calibri" w:cstheme="minorHAnsi"/>
          <w:b/>
          <w:bCs/>
        </w:rPr>
        <w:t xml:space="preserve"> provide real-time monitoring of LTCH compliance with the 50% rule and support timely application of corrective action.</w:t>
      </w:r>
      <w:r w:rsidRPr="00C17C50">
        <w:rPr>
          <w:rFonts w:eastAsia="Calibri" w:cstheme="minorHAnsi"/>
        </w:rPr>
        <w:t xml:space="preserve">  </w:t>
      </w:r>
    </w:p>
    <w:p w14:paraId="604EC01C" w14:textId="77777777" w:rsidR="00C17566" w:rsidRPr="00C17C50" w:rsidRDefault="00C17566" w:rsidP="00481569">
      <w:pPr>
        <w:tabs>
          <w:tab w:val="left" w:pos="9180"/>
        </w:tabs>
        <w:spacing w:after="0" w:line="240" w:lineRule="auto"/>
        <w:rPr>
          <w:rFonts w:cstheme="minorHAnsi"/>
          <w:b/>
          <w:smallCaps/>
        </w:rPr>
      </w:pPr>
    </w:p>
    <w:p w14:paraId="482CD11B" w14:textId="77777777" w:rsidR="00481569" w:rsidRPr="00C17C50" w:rsidRDefault="00C17566" w:rsidP="00481569">
      <w:pPr>
        <w:tabs>
          <w:tab w:val="left" w:pos="9180"/>
        </w:tabs>
        <w:spacing w:after="0" w:line="240" w:lineRule="auto"/>
        <w:rPr>
          <w:rFonts w:cstheme="minorHAnsi"/>
          <w:b/>
          <w:smallCaps/>
        </w:rPr>
      </w:pPr>
      <w:r w:rsidRPr="00C17C50">
        <w:rPr>
          <w:rFonts w:cstheme="minorHAnsi"/>
          <w:b/>
          <w:smallCaps/>
        </w:rPr>
        <w:t xml:space="preserve">Area Wage Index </w:t>
      </w:r>
      <w:r w:rsidR="00481569" w:rsidRPr="00C17C50">
        <w:rPr>
          <w:rFonts w:cstheme="minorHAnsi"/>
          <w:b/>
          <w:smallCaps/>
        </w:rPr>
        <w:t xml:space="preserve"> </w:t>
      </w:r>
    </w:p>
    <w:p w14:paraId="0E01D9E5" w14:textId="4236A65E" w:rsidR="003A11CF" w:rsidRPr="00C17C50" w:rsidRDefault="003A11CF" w:rsidP="003A11CF">
      <w:pPr>
        <w:spacing w:after="0" w:line="240" w:lineRule="auto"/>
        <w:rPr>
          <w:rFonts w:eastAsia="Times New Roman" w:cstheme="minorHAnsi"/>
        </w:rPr>
      </w:pPr>
      <w:r w:rsidRPr="00C17C50">
        <w:rPr>
          <w:rFonts w:eastAsia="Calibri" w:cstheme="minorHAnsi"/>
          <w:b/>
        </w:rPr>
        <w:t>CMS currently uses the FFY 2020 unadjusted hospital area wage index to adjust long</w:t>
      </w:r>
      <w:r w:rsidR="00B3454B">
        <w:rPr>
          <w:rFonts w:eastAsia="Calibri" w:cstheme="minorHAnsi"/>
          <w:b/>
        </w:rPr>
        <w:t>-</w:t>
      </w:r>
      <w:r w:rsidRPr="00C17C50">
        <w:rPr>
          <w:rFonts w:eastAsia="Calibri" w:cstheme="minorHAnsi"/>
          <w:b/>
        </w:rPr>
        <w:t xml:space="preserve">term acute care hospital payments. CHA strongly opposes the use of the current FFY 2020 wage index data that was released as a public use file on April 30. </w:t>
      </w:r>
      <w:r w:rsidRPr="00C17C50">
        <w:rPr>
          <w:rFonts w:eastAsia="Times New Roman" w:cstheme="minorHAnsi"/>
        </w:rPr>
        <w:t xml:space="preserve">As part of the FFY 2020 inpatient prospective payment system (IPPS) proposed rule, CMS verified the Worksheet S-3 wage data by instructing its Medicare administrative contractors to revise or verify data elements that result in “specific edits failures” (84 Fed. Reg. at 19375). CMS excluded 81 providers with “aberrant” data, but most notably excluded eight (now seven) hospitals that are all part of the same health system. CMS claims this is due to the current private business practice whereby, according to CMS, the health system in recent years negotiated its labor contracts with unions on a regional basis in California and that, as a result, the salaries within each region “are the same regardless of prevailing labor market conditions in the area in which the hospital is located.”  </w:t>
      </w:r>
    </w:p>
    <w:p w14:paraId="7810ECC5" w14:textId="77777777" w:rsidR="003A11CF" w:rsidRPr="00C17C50" w:rsidRDefault="003A11CF" w:rsidP="003A11CF">
      <w:pPr>
        <w:spacing w:after="0" w:line="240" w:lineRule="auto"/>
        <w:rPr>
          <w:rFonts w:eastAsia="SimSun" w:cstheme="minorHAnsi"/>
        </w:rPr>
      </w:pPr>
    </w:p>
    <w:p w14:paraId="3C5845D1" w14:textId="37D367D3" w:rsidR="003A11CF" w:rsidRPr="00C17C50" w:rsidRDefault="003A11CF" w:rsidP="003A11CF">
      <w:pPr>
        <w:suppressAutoHyphens/>
        <w:spacing w:after="240" w:line="240" w:lineRule="auto"/>
        <w:rPr>
          <w:rFonts w:eastAsia="SimSun" w:cstheme="minorHAnsi"/>
        </w:rPr>
      </w:pPr>
      <w:r w:rsidRPr="00C17C50">
        <w:rPr>
          <w:rFonts w:eastAsia="SimSun" w:cstheme="minorHAnsi"/>
        </w:rPr>
        <w:t>CMS states that it proposes to exclude the seven hospitals because it does not believe the average hourly wages of the hospitals accurately reflect the economic conditions in their respective labor market areas (e.g.</w:t>
      </w:r>
      <w:r w:rsidR="00A469D7">
        <w:rPr>
          <w:rFonts w:eastAsia="SimSun" w:cstheme="minorHAnsi"/>
        </w:rPr>
        <w:t>,</w:t>
      </w:r>
      <w:r w:rsidRPr="00C17C50">
        <w:rPr>
          <w:rFonts w:eastAsia="SimSun" w:cstheme="minorHAnsi"/>
        </w:rPr>
        <w:t xml:space="preserve"> the core-based statistical areas (CBSAs)). Additionally, CMS asserts that inclusion of this data would distort the comparison of the average hourly wage of each of these hospitals’ labor market areas to the national average hourly wage.  </w:t>
      </w:r>
    </w:p>
    <w:p w14:paraId="217B2D55" w14:textId="150714A3" w:rsidR="003A11CF" w:rsidRPr="00C17C50" w:rsidRDefault="003A11CF" w:rsidP="003A11CF">
      <w:pPr>
        <w:spacing w:after="0" w:line="240" w:lineRule="auto"/>
        <w:rPr>
          <w:rFonts w:eastAsia="SimSun" w:cstheme="minorHAnsi"/>
        </w:rPr>
      </w:pPr>
      <w:r w:rsidRPr="00C17C50">
        <w:rPr>
          <w:rFonts w:eastAsia="SimSun" w:cstheme="minorHAnsi"/>
        </w:rPr>
        <w:t>CMS argues that, under section 1886(d)(3)(E) of the Social Security Act (42 U.S.C. § 1395ww(d)(3)(E) (“Section 1395ww(d)(3)(E)”))</w:t>
      </w:r>
      <w:r w:rsidR="00A469D7">
        <w:rPr>
          <w:rFonts w:eastAsia="SimSun" w:cstheme="minorHAnsi"/>
        </w:rPr>
        <w:t xml:space="preserve"> </w:t>
      </w:r>
      <w:r w:rsidRPr="00C17C50">
        <w:rPr>
          <w:rFonts w:eastAsia="SimSun" w:cstheme="minorHAnsi"/>
        </w:rPr>
        <w:t>— the statute that requires the Secretary to establish a wage index reflecting the relative hospital wage level in the geographic area of a hospital compared to the national average hospital wage level —</w:t>
      </w:r>
      <w:r w:rsidR="00A469D7">
        <w:rPr>
          <w:rFonts w:eastAsia="SimSun" w:cstheme="minorHAnsi"/>
        </w:rPr>
        <w:t xml:space="preserve"> </w:t>
      </w:r>
      <w:r w:rsidRPr="00C17C50">
        <w:rPr>
          <w:rFonts w:eastAsia="SimSun" w:cstheme="minorHAnsi"/>
        </w:rPr>
        <w:t xml:space="preserve">it has the discretion to remove from the wage index </w:t>
      </w:r>
      <w:r w:rsidR="00A469D7" w:rsidRPr="00C17C50">
        <w:rPr>
          <w:rFonts w:eastAsia="SimSun" w:cstheme="minorHAnsi"/>
        </w:rPr>
        <w:t xml:space="preserve">hospital data </w:t>
      </w:r>
      <w:r w:rsidRPr="00C17C50">
        <w:rPr>
          <w:rFonts w:eastAsia="SimSun" w:cstheme="minorHAnsi"/>
        </w:rPr>
        <w:t>that do not reflect the relative hospital wage level in the hospital’s geographic area.  Although CMS does not say it overtly, it alludes that the seven hospitals’ wage data are high compared to their labor market areas. Most concerning, CMS says it is considering removing all 38 hospitals that are part of the health system from the wage index calculations in FFY 2021, “not because they are failing edits due to inaccuracy, but because of the uniqueness of this chain of hospitals, in particular, the fact that the salaries of their employees are not based on local labor market rates.”  84 Fed. Reg. at 19376.</w:t>
      </w:r>
    </w:p>
    <w:p w14:paraId="0D86D785" w14:textId="77777777" w:rsidR="003A11CF" w:rsidRPr="00C17C50" w:rsidRDefault="003A11CF" w:rsidP="003A11CF">
      <w:pPr>
        <w:spacing w:after="0" w:line="240" w:lineRule="auto"/>
        <w:rPr>
          <w:rFonts w:eastAsia="SimSun" w:cstheme="minorHAnsi"/>
        </w:rPr>
      </w:pPr>
    </w:p>
    <w:p w14:paraId="0906C14B" w14:textId="77777777" w:rsidR="003A11CF" w:rsidRPr="00C17C50" w:rsidRDefault="003A11CF" w:rsidP="003A11CF">
      <w:pPr>
        <w:pStyle w:val="10sp05"/>
        <w:ind w:firstLine="0"/>
        <w:rPr>
          <w:rFonts w:asciiTheme="minorHAnsi" w:hAnsiTheme="minorHAnsi" w:cstheme="minorHAnsi"/>
          <w:b/>
          <w:bCs/>
          <w:sz w:val="22"/>
          <w:szCs w:val="22"/>
        </w:rPr>
      </w:pPr>
      <w:r w:rsidRPr="00C17C50">
        <w:rPr>
          <w:rFonts w:asciiTheme="minorHAnsi" w:hAnsiTheme="minorHAnsi" w:cstheme="minorHAnsi"/>
          <w:sz w:val="22"/>
          <w:szCs w:val="22"/>
        </w:rPr>
        <w:t xml:space="preserve">We urge CMS to carefully review CHA’s FFY 2020 IPPS comments, where we outline in detail our </w:t>
      </w:r>
      <w:r w:rsidRPr="00C17C50">
        <w:rPr>
          <w:rFonts w:asciiTheme="minorHAnsi" w:hAnsiTheme="minorHAnsi" w:cstheme="minorHAnsi"/>
          <w:b/>
          <w:bCs/>
          <w:sz w:val="22"/>
          <w:szCs w:val="22"/>
        </w:rPr>
        <w:t xml:space="preserve">concerns and objections to the proposed exclusion of the seven hospitals in the FFY 2020 public use file. As discussed below, the exclusion of the seven hospitals would be unlawful for at least five critical reasons: </w:t>
      </w:r>
    </w:p>
    <w:p w14:paraId="633201A8" w14:textId="77777777" w:rsidR="003A11CF" w:rsidRPr="00C17C50" w:rsidRDefault="003A11CF" w:rsidP="003A11CF">
      <w:pPr>
        <w:pStyle w:val="10sp05"/>
        <w:numPr>
          <w:ilvl w:val="0"/>
          <w:numId w:val="11"/>
        </w:numPr>
        <w:rPr>
          <w:rFonts w:asciiTheme="minorHAnsi" w:hAnsiTheme="minorHAnsi" w:cstheme="minorHAnsi"/>
          <w:sz w:val="22"/>
          <w:szCs w:val="22"/>
        </w:rPr>
      </w:pPr>
      <w:r w:rsidRPr="00C17C50">
        <w:rPr>
          <w:rFonts w:asciiTheme="minorHAnsi" w:hAnsiTheme="minorHAnsi" w:cstheme="minorHAnsi"/>
          <w:sz w:val="22"/>
          <w:szCs w:val="22"/>
        </w:rPr>
        <w:t xml:space="preserve">Nothing in the applicable statute, Section 1395ww(d)(3)(E), permits CMS to exclude general acute care hospitals from the wage index data simply because those hospitals’ wages are higher </w:t>
      </w:r>
      <w:r w:rsidRPr="00C17C50">
        <w:rPr>
          <w:rFonts w:asciiTheme="minorHAnsi" w:hAnsiTheme="minorHAnsi" w:cstheme="minorHAnsi"/>
          <w:sz w:val="22"/>
          <w:szCs w:val="22"/>
        </w:rPr>
        <w:lastRenderedPageBreak/>
        <w:t>than the wages of other hospitals in their area, or because the hospitals are part of a system that negotiates regional or statewide labor contracts. Rather, as indicated by CMS</w:t>
      </w:r>
      <w:r w:rsidRPr="00C17C50" w:rsidDel="002D2EA7">
        <w:rPr>
          <w:rFonts w:asciiTheme="minorHAnsi" w:hAnsiTheme="minorHAnsi" w:cstheme="minorHAnsi"/>
          <w:sz w:val="22"/>
          <w:szCs w:val="22"/>
        </w:rPr>
        <w:t xml:space="preserve"> </w:t>
      </w:r>
      <w:r w:rsidRPr="00C17C50">
        <w:rPr>
          <w:rFonts w:asciiTheme="minorHAnsi" w:hAnsiTheme="minorHAnsi" w:cstheme="minorHAnsi"/>
          <w:sz w:val="22"/>
          <w:szCs w:val="22"/>
        </w:rPr>
        <w:t xml:space="preserve">in past rulemakings, the wages of all short-term acute care hospitals must be included unless such data are incomplete or inaccurate.  </w:t>
      </w:r>
    </w:p>
    <w:p w14:paraId="107678B4" w14:textId="594CB6FC" w:rsidR="003A11CF" w:rsidRPr="00C17C50" w:rsidRDefault="003A11CF" w:rsidP="003A11CF">
      <w:pPr>
        <w:pStyle w:val="10sp05"/>
        <w:numPr>
          <w:ilvl w:val="0"/>
          <w:numId w:val="11"/>
        </w:numPr>
        <w:rPr>
          <w:rFonts w:asciiTheme="minorHAnsi" w:hAnsiTheme="minorHAnsi" w:cstheme="minorHAnsi"/>
          <w:sz w:val="22"/>
          <w:szCs w:val="22"/>
        </w:rPr>
      </w:pPr>
      <w:r w:rsidRPr="00C17C50">
        <w:rPr>
          <w:rFonts w:asciiTheme="minorHAnsi" w:hAnsiTheme="minorHAnsi" w:cstheme="minorHAnsi"/>
          <w:sz w:val="22"/>
          <w:szCs w:val="22"/>
        </w:rPr>
        <w:t>Even if CMS had authority to exclude certain hospitals even though their data were accurate and verifiable (as is the case with the seven hospitals), the exclusion of the seven hospitals would be arbitrary and capricious</w:t>
      </w:r>
      <w:r w:rsidR="00A469D7">
        <w:rPr>
          <w:rFonts w:asciiTheme="minorHAnsi" w:hAnsiTheme="minorHAnsi" w:cstheme="minorHAnsi"/>
          <w:sz w:val="22"/>
          <w:szCs w:val="22"/>
        </w:rPr>
        <w:t>,</w:t>
      </w:r>
      <w:r w:rsidRPr="00C17C50">
        <w:rPr>
          <w:rFonts w:asciiTheme="minorHAnsi" w:hAnsiTheme="minorHAnsi" w:cstheme="minorHAnsi"/>
          <w:sz w:val="22"/>
          <w:szCs w:val="22"/>
        </w:rPr>
        <w:t xml:space="preserve"> as CMS has promulgated no standards to govern the exercise of its discretion. CMS has established an extensive process to ensure the accuracy and reliability of hospital wage data — yet, where it does not like the result, it has decided to deviate from this process by excluding hospitals with accurate data.  </w:t>
      </w:r>
    </w:p>
    <w:p w14:paraId="2C014FBC" w14:textId="77777777" w:rsidR="003A11CF" w:rsidRPr="00C17C50" w:rsidRDefault="003A11CF" w:rsidP="003A11CF">
      <w:pPr>
        <w:pStyle w:val="10sp05"/>
        <w:numPr>
          <w:ilvl w:val="0"/>
          <w:numId w:val="11"/>
        </w:numPr>
        <w:rPr>
          <w:rFonts w:asciiTheme="minorHAnsi" w:hAnsiTheme="minorHAnsi" w:cstheme="minorHAnsi"/>
          <w:sz w:val="22"/>
          <w:szCs w:val="22"/>
        </w:rPr>
      </w:pPr>
      <w:r w:rsidRPr="00C17C50">
        <w:rPr>
          <w:rFonts w:asciiTheme="minorHAnsi" w:hAnsiTheme="minorHAnsi" w:cstheme="minorHAnsi"/>
          <w:sz w:val="22"/>
          <w:szCs w:val="22"/>
        </w:rPr>
        <w:t>CMS’ exclusion of the seven hospitals is procedurally improper, as CMS has failed to promulgate a rule in accordance with the APA that would authorize the exclusion of hospitals with aberrant data or to set forth the standards to be applied in determining whether data are aberrant.</w:t>
      </w:r>
    </w:p>
    <w:p w14:paraId="495C9791" w14:textId="77777777" w:rsidR="003A11CF" w:rsidRPr="00C17C50" w:rsidRDefault="003A11CF" w:rsidP="003A11CF">
      <w:pPr>
        <w:pStyle w:val="10sp05"/>
        <w:numPr>
          <w:ilvl w:val="0"/>
          <w:numId w:val="11"/>
        </w:numPr>
        <w:rPr>
          <w:rFonts w:asciiTheme="minorHAnsi" w:hAnsiTheme="minorHAnsi" w:cstheme="minorHAnsi"/>
          <w:sz w:val="22"/>
          <w:szCs w:val="22"/>
        </w:rPr>
      </w:pPr>
      <w:r w:rsidRPr="00C17C50">
        <w:rPr>
          <w:rFonts w:asciiTheme="minorHAnsi" w:hAnsiTheme="minorHAnsi" w:cstheme="minorHAnsi"/>
          <w:sz w:val="22"/>
          <w:szCs w:val="22"/>
        </w:rPr>
        <w:t>CMS has failed to consider the relevant factors and has relied on factors that are not relevant under the applicable statute. As a result, its action is arbitrary and capricious.</w:t>
      </w:r>
    </w:p>
    <w:p w14:paraId="002F7F54" w14:textId="77777777" w:rsidR="003A11CF" w:rsidRPr="00C17C50" w:rsidRDefault="003A11CF" w:rsidP="003A11CF">
      <w:pPr>
        <w:pStyle w:val="Level3"/>
        <w:numPr>
          <w:ilvl w:val="0"/>
          <w:numId w:val="11"/>
        </w:numPr>
        <w:rPr>
          <w:rFonts w:asciiTheme="minorHAnsi" w:hAnsiTheme="minorHAnsi" w:cstheme="minorHAnsi"/>
          <w:sz w:val="22"/>
          <w:szCs w:val="22"/>
          <w:u w:val="none"/>
        </w:rPr>
      </w:pPr>
      <w:r w:rsidRPr="00C17C50">
        <w:rPr>
          <w:rFonts w:asciiTheme="minorHAnsi" w:hAnsiTheme="minorHAnsi" w:cstheme="minorHAnsi"/>
          <w:sz w:val="22"/>
          <w:szCs w:val="22"/>
          <w:u w:val="none"/>
        </w:rPr>
        <w:t>CMS’ basis for excluding the health system hospitals is inconsistent with federal labor law because it interferes with collective bargaining.</w:t>
      </w:r>
    </w:p>
    <w:p w14:paraId="39347157" w14:textId="603ADBD8" w:rsidR="003A11CF" w:rsidRPr="00C17C50" w:rsidRDefault="003A11CF" w:rsidP="003A11CF">
      <w:pPr>
        <w:spacing w:after="0" w:line="240" w:lineRule="auto"/>
        <w:rPr>
          <w:rFonts w:eastAsia="Times New Roman" w:cstheme="minorHAnsi"/>
          <w:bCs/>
        </w:rPr>
      </w:pPr>
      <w:r w:rsidRPr="00C17C50">
        <w:rPr>
          <w:rFonts w:eastAsia="Times New Roman" w:cstheme="minorHAnsi"/>
          <w:b/>
          <w:bCs/>
        </w:rPr>
        <w:t>Changes resulting from the health system hospital exclusions from the area wage index calculation are untenable and must be reversed in both the IPPS adjusted and unadjusted area wage index</w:t>
      </w:r>
      <w:r w:rsidRPr="00C17C50">
        <w:rPr>
          <w:rFonts w:eastAsia="Times New Roman" w:cstheme="minorHAnsi"/>
          <w:bCs/>
        </w:rPr>
        <w:t>. Moreover, CMS’ threat to exclude all seven hospitals in FFY 2021 is completely untethered from the relevant statute and is unsupportable. Further, the proposed exclusions for FFY 2020 will cause significant harm to not only IPPS hospitals, but also SNFs, inpatient rehabilitation hospitals (IRFs), inpatient psychiatric facilities and many others. These consequences impacting more than the IPPS hospitals appear to be unintended by CMS, as it failed to even consider them in its regulatory fiscal impact analysis in the proposed rule</w:t>
      </w:r>
      <w:r w:rsidR="00A469D7">
        <w:rPr>
          <w:rFonts w:eastAsia="Times New Roman" w:cstheme="minorHAnsi"/>
          <w:bCs/>
        </w:rPr>
        <w:t>,</w:t>
      </w:r>
      <w:r w:rsidRPr="00C17C50">
        <w:rPr>
          <w:rFonts w:eastAsia="Times New Roman" w:cstheme="minorHAnsi"/>
          <w:bCs/>
        </w:rPr>
        <w:t xml:space="preserve"> as it is legally required to do. Thus, the exclusions are legally impermissible.</w:t>
      </w:r>
    </w:p>
    <w:p w14:paraId="2BECD673" w14:textId="77777777" w:rsidR="003A11CF" w:rsidRPr="00C17C50" w:rsidRDefault="003A11CF" w:rsidP="003A11CF">
      <w:pPr>
        <w:spacing w:after="0" w:line="240" w:lineRule="auto"/>
        <w:rPr>
          <w:rFonts w:eastAsia="Calibri" w:cstheme="minorHAnsi"/>
          <w:b/>
          <w:bCs/>
          <w:lang w:bidi="en-US"/>
        </w:rPr>
      </w:pPr>
    </w:p>
    <w:p w14:paraId="37EBB259" w14:textId="77777777" w:rsidR="003A11CF" w:rsidRPr="00C17C50" w:rsidRDefault="003A11CF" w:rsidP="003A11CF">
      <w:pPr>
        <w:suppressAutoHyphens/>
        <w:spacing w:after="240" w:line="240" w:lineRule="auto"/>
        <w:rPr>
          <w:rFonts w:eastAsia="SimSun" w:cstheme="minorHAnsi"/>
        </w:rPr>
      </w:pPr>
      <w:r w:rsidRPr="00C17C50">
        <w:rPr>
          <w:rFonts w:eastAsia="SimSun" w:cstheme="minorHAnsi"/>
        </w:rPr>
        <w:t>CHA estimates the exclusion of the seven hospitals in FFY 2020 will have an estimated range of impact on the unadjusted area wage index from negative 3% to negative 10%, as follows:</w:t>
      </w:r>
    </w:p>
    <w:tbl>
      <w:tblPr>
        <w:tblStyle w:val="GridTable4-Accent1"/>
        <w:tblW w:w="9648" w:type="dxa"/>
        <w:tblLook w:val="04A0" w:firstRow="1" w:lastRow="0" w:firstColumn="1" w:lastColumn="0" w:noHBand="0" w:noVBand="1"/>
      </w:tblPr>
      <w:tblGrid>
        <w:gridCol w:w="1098"/>
        <w:gridCol w:w="2947"/>
        <w:gridCol w:w="2273"/>
        <w:gridCol w:w="1800"/>
        <w:gridCol w:w="1530"/>
      </w:tblGrid>
      <w:tr w:rsidR="003A11CF" w:rsidRPr="00C17C50" w14:paraId="1EE3CE19" w14:textId="77777777" w:rsidTr="0001722B">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98" w:type="dxa"/>
            <w:hideMark/>
          </w:tcPr>
          <w:p w14:paraId="6825DF7D" w14:textId="77777777" w:rsidR="003A11CF" w:rsidRPr="00C17C50" w:rsidRDefault="003A11CF" w:rsidP="0001722B">
            <w:pPr>
              <w:jc w:val="center"/>
              <w:rPr>
                <w:rFonts w:eastAsia="Times New Roman" w:cstheme="minorHAnsi"/>
                <w:color w:val="FFFFFF"/>
              </w:rPr>
            </w:pPr>
            <w:r w:rsidRPr="00C17C50">
              <w:rPr>
                <w:rFonts w:eastAsia="Times New Roman" w:cstheme="minorHAnsi"/>
                <w:color w:val="FFFFFF"/>
              </w:rPr>
              <w:t>CBSA #</w:t>
            </w:r>
          </w:p>
        </w:tc>
        <w:tc>
          <w:tcPr>
            <w:tcW w:w="2947" w:type="dxa"/>
            <w:hideMark/>
          </w:tcPr>
          <w:p w14:paraId="0FFBB27A" w14:textId="77777777" w:rsidR="003A11CF" w:rsidRPr="00C17C50" w:rsidRDefault="003A11CF" w:rsidP="0001722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sidRPr="00C17C50">
              <w:rPr>
                <w:rFonts w:eastAsia="Times New Roman" w:cstheme="minorHAnsi"/>
                <w:color w:val="FFFFFF"/>
              </w:rPr>
              <w:t>CBSA Name</w:t>
            </w:r>
          </w:p>
        </w:tc>
        <w:tc>
          <w:tcPr>
            <w:tcW w:w="2273" w:type="dxa"/>
            <w:hideMark/>
          </w:tcPr>
          <w:p w14:paraId="45FAB3A8" w14:textId="77777777" w:rsidR="003A11CF" w:rsidRPr="00C17C50" w:rsidRDefault="003A11CF" w:rsidP="0001722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sidRPr="00C17C50">
              <w:rPr>
                <w:rFonts w:eastAsia="Times New Roman" w:cstheme="minorHAnsi"/>
                <w:color w:val="FFFFFF"/>
              </w:rPr>
              <w:t>Unadjusted AWI WITHOUT Health System (Proposed)</w:t>
            </w:r>
          </w:p>
        </w:tc>
        <w:tc>
          <w:tcPr>
            <w:tcW w:w="1800" w:type="dxa"/>
            <w:hideMark/>
          </w:tcPr>
          <w:p w14:paraId="3DCB1CDB" w14:textId="77777777" w:rsidR="003A11CF" w:rsidRPr="00C17C50" w:rsidRDefault="003A11CF" w:rsidP="0001722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sidRPr="00C17C50">
              <w:rPr>
                <w:rFonts w:eastAsia="Times New Roman" w:cstheme="minorHAnsi"/>
                <w:color w:val="FFFFFF"/>
              </w:rPr>
              <w:t>Unadjusted AWI WITH Health System</w:t>
            </w:r>
          </w:p>
        </w:tc>
        <w:tc>
          <w:tcPr>
            <w:tcW w:w="1530" w:type="dxa"/>
            <w:hideMark/>
          </w:tcPr>
          <w:p w14:paraId="341EDBD2" w14:textId="77777777" w:rsidR="003A11CF" w:rsidRPr="00C17C50" w:rsidRDefault="003A11CF" w:rsidP="0001722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rPr>
            </w:pPr>
            <w:r w:rsidRPr="00C17C50">
              <w:rPr>
                <w:rFonts w:eastAsia="Times New Roman" w:cstheme="minorHAnsi"/>
                <w:color w:val="FFFFFF"/>
              </w:rPr>
              <w:t>Impact %</w:t>
            </w:r>
          </w:p>
        </w:tc>
      </w:tr>
      <w:tr w:rsidR="003A11CF" w:rsidRPr="00C17C50" w14:paraId="7A8D2D3C" w14:textId="77777777" w:rsidTr="000172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24666183" w14:textId="77777777" w:rsidR="003A11CF" w:rsidRPr="00C17C50" w:rsidRDefault="003A11CF" w:rsidP="0001722B">
            <w:pPr>
              <w:jc w:val="right"/>
              <w:rPr>
                <w:rFonts w:eastAsia="Times New Roman" w:cstheme="minorHAnsi"/>
                <w:color w:val="000000"/>
              </w:rPr>
            </w:pPr>
            <w:r w:rsidRPr="00C17C50">
              <w:rPr>
                <w:rFonts w:eastAsia="Times New Roman" w:cstheme="minorHAnsi"/>
                <w:color w:val="000000"/>
              </w:rPr>
              <w:t>11244</w:t>
            </w:r>
          </w:p>
        </w:tc>
        <w:tc>
          <w:tcPr>
            <w:tcW w:w="2947" w:type="dxa"/>
            <w:noWrap/>
            <w:vAlign w:val="center"/>
            <w:hideMark/>
          </w:tcPr>
          <w:p w14:paraId="06B79C8F" w14:textId="77777777" w:rsidR="003A11CF" w:rsidRPr="00C17C50" w:rsidRDefault="003A11CF" w:rsidP="000172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Anaheim-Santa Ana-Irvine, CA</w:t>
            </w:r>
          </w:p>
        </w:tc>
        <w:tc>
          <w:tcPr>
            <w:tcW w:w="2273" w:type="dxa"/>
            <w:noWrap/>
            <w:vAlign w:val="center"/>
            <w:hideMark/>
          </w:tcPr>
          <w:p w14:paraId="4CFDD5BE" w14:textId="77777777" w:rsidR="003A11CF" w:rsidRPr="00C17C50" w:rsidRDefault="003A11CF" w:rsidP="0001722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1.1953</w:t>
            </w:r>
          </w:p>
        </w:tc>
        <w:tc>
          <w:tcPr>
            <w:tcW w:w="1800" w:type="dxa"/>
            <w:noWrap/>
            <w:vAlign w:val="center"/>
            <w:hideMark/>
          </w:tcPr>
          <w:p w14:paraId="40FDB1EA" w14:textId="77777777" w:rsidR="003A11CF" w:rsidRPr="00C17C50" w:rsidRDefault="003A11CF" w:rsidP="0001722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1.2338</w:t>
            </w:r>
          </w:p>
        </w:tc>
        <w:tc>
          <w:tcPr>
            <w:tcW w:w="1530" w:type="dxa"/>
            <w:noWrap/>
            <w:vAlign w:val="center"/>
            <w:hideMark/>
          </w:tcPr>
          <w:p w14:paraId="5F9F3A51" w14:textId="77777777" w:rsidR="003A11CF" w:rsidRPr="00C17C50" w:rsidRDefault="003A11CF" w:rsidP="0001722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17C50">
              <w:rPr>
                <w:rFonts w:eastAsia="Times New Roman" w:cstheme="minorHAnsi"/>
              </w:rPr>
              <w:t>-3.22%</w:t>
            </w:r>
          </w:p>
        </w:tc>
      </w:tr>
      <w:tr w:rsidR="003A11CF" w:rsidRPr="00C17C50" w14:paraId="3C02B268" w14:textId="77777777" w:rsidTr="0001722B">
        <w:trPr>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150D41A6" w14:textId="77777777" w:rsidR="003A11CF" w:rsidRPr="00C17C50" w:rsidRDefault="003A11CF" w:rsidP="0001722B">
            <w:pPr>
              <w:jc w:val="right"/>
              <w:rPr>
                <w:rFonts w:eastAsia="Times New Roman" w:cstheme="minorHAnsi"/>
                <w:color w:val="000000"/>
              </w:rPr>
            </w:pPr>
            <w:r w:rsidRPr="00C17C50">
              <w:rPr>
                <w:rFonts w:eastAsia="Times New Roman" w:cstheme="minorHAnsi"/>
                <w:color w:val="000000"/>
              </w:rPr>
              <w:t>23420</w:t>
            </w:r>
          </w:p>
        </w:tc>
        <w:tc>
          <w:tcPr>
            <w:tcW w:w="2947" w:type="dxa"/>
            <w:noWrap/>
            <w:vAlign w:val="center"/>
            <w:hideMark/>
          </w:tcPr>
          <w:p w14:paraId="389C31AE" w14:textId="77777777" w:rsidR="003A11CF" w:rsidRPr="00C17C50" w:rsidRDefault="003A11CF" w:rsidP="000172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Fresno, CA</w:t>
            </w:r>
          </w:p>
        </w:tc>
        <w:tc>
          <w:tcPr>
            <w:tcW w:w="2273" w:type="dxa"/>
            <w:noWrap/>
            <w:vAlign w:val="center"/>
            <w:hideMark/>
          </w:tcPr>
          <w:p w14:paraId="5B2AB8C6" w14:textId="77777777" w:rsidR="003A11CF" w:rsidRPr="00C17C50" w:rsidRDefault="003A11CF" w:rsidP="0001722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1.0662</w:t>
            </w:r>
          </w:p>
        </w:tc>
        <w:tc>
          <w:tcPr>
            <w:tcW w:w="1800" w:type="dxa"/>
            <w:noWrap/>
            <w:vAlign w:val="center"/>
            <w:hideMark/>
          </w:tcPr>
          <w:p w14:paraId="10FF7899" w14:textId="77777777" w:rsidR="003A11CF" w:rsidRPr="00C17C50" w:rsidRDefault="003A11CF" w:rsidP="0001722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1.1477</w:t>
            </w:r>
          </w:p>
        </w:tc>
        <w:tc>
          <w:tcPr>
            <w:tcW w:w="1530" w:type="dxa"/>
            <w:noWrap/>
            <w:vAlign w:val="center"/>
            <w:hideMark/>
          </w:tcPr>
          <w:p w14:paraId="33C231F1" w14:textId="77777777" w:rsidR="003A11CF" w:rsidRPr="00C17C50" w:rsidRDefault="003A11CF" w:rsidP="0001722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17C50">
              <w:rPr>
                <w:rFonts w:eastAsia="Times New Roman" w:cstheme="minorHAnsi"/>
              </w:rPr>
              <w:t>-7.64%</w:t>
            </w:r>
          </w:p>
        </w:tc>
      </w:tr>
      <w:tr w:rsidR="003A11CF" w:rsidRPr="00C17C50" w14:paraId="1C2950F2" w14:textId="77777777" w:rsidTr="000172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4E83210A" w14:textId="77777777" w:rsidR="003A11CF" w:rsidRPr="00C17C50" w:rsidRDefault="003A11CF" w:rsidP="0001722B">
            <w:pPr>
              <w:jc w:val="right"/>
              <w:rPr>
                <w:rFonts w:eastAsia="Times New Roman" w:cstheme="minorHAnsi"/>
                <w:color w:val="000000"/>
              </w:rPr>
            </w:pPr>
            <w:r w:rsidRPr="00C17C50">
              <w:rPr>
                <w:rFonts w:eastAsia="Times New Roman" w:cstheme="minorHAnsi"/>
                <w:color w:val="000000"/>
              </w:rPr>
              <w:t>40140</w:t>
            </w:r>
          </w:p>
        </w:tc>
        <w:tc>
          <w:tcPr>
            <w:tcW w:w="2947" w:type="dxa"/>
            <w:noWrap/>
            <w:vAlign w:val="center"/>
            <w:hideMark/>
          </w:tcPr>
          <w:p w14:paraId="17974DA2" w14:textId="77777777" w:rsidR="003A11CF" w:rsidRPr="00C17C50" w:rsidRDefault="003A11CF" w:rsidP="000172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Riverside-San Bernardino-Ontario, CA</w:t>
            </w:r>
          </w:p>
        </w:tc>
        <w:tc>
          <w:tcPr>
            <w:tcW w:w="2273" w:type="dxa"/>
            <w:noWrap/>
            <w:vAlign w:val="center"/>
            <w:hideMark/>
          </w:tcPr>
          <w:p w14:paraId="228A00E4" w14:textId="77777777" w:rsidR="003A11CF" w:rsidRPr="00C17C50" w:rsidRDefault="003A11CF" w:rsidP="0001722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1.1313</w:t>
            </w:r>
          </w:p>
        </w:tc>
        <w:tc>
          <w:tcPr>
            <w:tcW w:w="1800" w:type="dxa"/>
            <w:noWrap/>
            <w:vAlign w:val="center"/>
            <w:hideMark/>
          </w:tcPr>
          <w:p w14:paraId="2350F7C8" w14:textId="77777777" w:rsidR="003A11CF" w:rsidRPr="00C17C50" w:rsidRDefault="003A11CF" w:rsidP="0001722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1.1903</w:t>
            </w:r>
          </w:p>
        </w:tc>
        <w:tc>
          <w:tcPr>
            <w:tcW w:w="1530" w:type="dxa"/>
            <w:noWrap/>
            <w:vAlign w:val="center"/>
            <w:hideMark/>
          </w:tcPr>
          <w:p w14:paraId="743E7C09" w14:textId="77777777" w:rsidR="003A11CF" w:rsidRPr="00C17C50" w:rsidRDefault="003A11CF" w:rsidP="0001722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17C50">
              <w:rPr>
                <w:rFonts w:eastAsia="Times New Roman" w:cstheme="minorHAnsi"/>
              </w:rPr>
              <w:t>-5.22%</w:t>
            </w:r>
          </w:p>
        </w:tc>
      </w:tr>
      <w:tr w:rsidR="003A11CF" w:rsidRPr="00C17C50" w14:paraId="3E639977" w14:textId="77777777" w:rsidTr="0001722B">
        <w:trPr>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78130823" w14:textId="77777777" w:rsidR="003A11CF" w:rsidRPr="00C17C50" w:rsidRDefault="003A11CF" w:rsidP="0001722B">
            <w:pPr>
              <w:jc w:val="right"/>
              <w:rPr>
                <w:rFonts w:eastAsia="Times New Roman" w:cstheme="minorHAnsi"/>
                <w:color w:val="000000"/>
              </w:rPr>
            </w:pPr>
            <w:r w:rsidRPr="00C17C50">
              <w:rPr>
                <w:rFonts w:eastAsia="Times New Roman" w:cstheme="minorHAnsi"/>
                <w:color w:val="000000"/>
              </w:rPr>
              <w:t>41740</w:t>
            </w:r>
          </w:p>
        </w:tc>
        <w:tc>
          <w:tcPr>
            <w:tcW w:w="2947" w:type="dxa"/>
            <w:noWrap/>
            <w:vAlign w:val="center"/>
            <w:hideMark/>
          </w:tcPr>
          <w:p w14:paraId="0D2C17B6" w14:textId="77777777" w:rsidR="003A11CF" w:rsidRPr="00C17C50" w:rsidRDefault="003A11CF" w:rsidP="0001722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San Diego-Carlsbad, CA</w:t>
            </w:r>
          </w:p>
        </w:tc>
        <w:tc>
          <w:tcPr>
            <w:tcW w:w="2273" w:type="dxa"/>
            <w:noWrap/>
            <w:vAlign w:val="center"/>
            <w:hideMark/>
          </w:tcPr>
          <w:p w14:paraId="6F96514B" w14:textId="77777777" w:rsidR="003A11CF" w:rsidRPr="00C17C50" w:rsidRDefault="003A11CF" w:rsidP="0001722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1.1982</w:t>
            </w:r>
          </w:p>
        </w:tc>
        <w:tc>
          <w:tcPr>
            <w:tcW w:w="1800" w:type="dxa"/>
            <w:noWrap/>
            <w:vAlign w:val="center"/>
            <w:hideMark/>
          </w:tcPr>
          <w:p w14:paraId="74B9A294" w14:textId="77777777" w:rsidR="003A11CF" w:rsidRPr="00C17C50" w:rsidRDefault="003A11CF" w:rsidP="0001722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1.2256</w:t>
            </w:r>
          </w:p>
        </w:tc>
        <w:tc>
          <w:tcPr>
            <w:tcW w:w="1530" w:type="dxa"/>
            <w:noWrap/>
            <w:vAlign w:val="center"/>
            <w:hideMark/>
          </w:tcPr>
          <w:p w14:paraId="109EFD2E" w14:textId="77777777" w:rsidR="003A11CF" w:rsidRPr="00C17C50" w:rsidRDefault="003A11CF" w:rsidP="0001722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17C50">
              <w:rPr>
                <w:rFonts w:eastAsia="Times New Roman" w:cstheme="minorHAnsi"/>
              </w:rPr>
              <w:t>-2.29%</w:t>
            </w:r>
          </w:p>
        </w:tc>
      </w:tr>
      <w:tr w:rsidR="003A11CF" w:rsidRPr="00C17C50" w14:paraId="40B4D7FA" w14:textId="77777777" w:rsidTr="000172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8" w:type="dxa"/>
            <w:noWrap/>
            <w:hideMark/>
          </w:tcPr>
          <w:p w14:paraId="0E033636" w14:textId="77777777" w:rsidR="003A11CF" w:rsidRPr="00C17C50" w:rsidRDefault="003A11CF" w:rsidP="0001722B">
            <w:pPr>
              <w:jc w:val="right"/>
              <w:rPr>
                <w:rFonts w:eastAsia="Times New Roman" w:cstheme="minorHAnsi"/>
                <w:color w:val="000000"/>
              </w:rPr>
            </w:pPr>
            <w:r w:rsidRPr="00C17C50">
              <w:rPr>
                <w:rFonts w:eastAsia="Times New Roman" w:cstheme="minorHAnsi"/>
                <w:color w:val="000000"/>
              </w:rPr>
              <w:t>44700</w:t>
            </w:r>
          </w:p>
        </w:tc>
        <w:tc>
          <w:tcPr>
            <w:tcW w:w="2947" w:type="dxa"/>
            <w:noWrap/>
            <w:vAlign w:val="center"/>
            <w:hideMark/>
          </w:tcPr>
          <w:p w14:paraId="2C437023" w14:textId="77777777" w:rsidR="003A11CF" w:rsidRPr="00C17C50" w:rsidRDefault="003A11CF" w:rsidP="0001722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Stockton-Lodi, CA</w:t>
            </w:r>
          </w:p>
        </w:tc>
        <w:tc>
          <w:tcPr>
            <w:tcW w:w="2273" w:type="dxa"/>
            <w:noWrap/>
            <w:vAlign w:val="center"/>
            <w:hideMark/>
          </w:tcPr>
          <w:p w14:paraId="3231C33C" w14:textId="77777777" w:rsidR="003A11CF" w:rsidRPr="00C17C50" w:rsidRDefault="003A11CF" w:rsidP="0001722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1.3639</w:t>
            </w:r>
          </w:p>
        </w:tc>
        <w:tc>
          <w:tcPr>
            <w:tcW w:w="1800" w:type="dxa"/>
            <w:noWrap/>
            <w:vAlign w:val="center"/>
            <w:hideMark/>
          </w:tcPr>
          <w:p w14:paraId="3A1BAA71" w14:textId="77777777" w:rsidR="003A11CF" w:rsidRPr="00C17C50" w:rsidRDefault="003A11CF" w:rsidP="0001722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C17C50">
              <w:rPr>
                <w:rFonts w:eastAsia="Times New Roman" w:cstheme="minorHAnsi"/>
                <w:color w:val="000000"/>
              </w:rPr>
              <w:t>1.5012</w:t>
            </w:r>
          </w:p>
        </w:tc>
        <w:tc>
          <w:tcPr>
            <w:tcW w:w="1530" w:type="dxa"/>
            <w:noWrap/>
            <w:vAlign w:val="center"/>
            <w:hideMark/>
          </w:tcPr>
          <w:p w14:paraId="52667C21" w14:textId="77777777" w:rsidR="003A11CF" w:rsidRPr="00C17C50" w:rsidRDefault="003A11CF" w:rsidP="0001722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17C50">
              <w:rPr>
                <w:rFonts w:eastAsia="Times New Roman" w:cstheme="minorHAnsi"/>
              </w:rPr>
              <w:t>-10.07%</w:t>
            </w:r>
          </w:p>
        </w:tc>
      </w:tr>
    </w:tbl>
    <w:p w14:paraId="239012CC" w14:textId="77777777" w:rsidR="00980481" w:rsidRPr="00C17C50" w:rsidRDefault="00980481" w:rsidP="00481569">
      <w:pPr>
        <w:tabs>
          <w:tab w:val="left" w:pos="9180"/>
        </w:tabs>
        <w:spacing w:after="0" w:line="240" w:lineRule="auto"/>
        <w:rPr>
          <w:rFonts w:cstheme="minorHAnsi"/>
          <w:b/>
          <w:smallCaps/>
        </w:rPr>
      </w:pPr>
    </w:p>
    <w:p w14:paraId="555A7A07" w14:textId="48439BEC" w:rsidR="00511CEB" w:rsidRPr="00511CEB" w:rsidRDefault="00511CEB" w:rsidP="00511CEB">
      <w:pPr>
        <w:rPr>
          <w:b/>
          <w:bCs/>
          <w:lang w:bidi="en-US"/>
        </w:rPr>
      </w:pPr>
      <w:r w:rsidRPr="00511CEB">
        <w:rPr>
          <w:b/>
          <w:bCs/>
          <w:lang w:bidi="en-US"/>
        </w:rPr>
        <w:lastRenderedPageBreak/>
        <w:t xml:space="preserve">CHA estimates there are </w:t>
      </w:r>
      <w:r w:rsidRPr="00511CEB">
        <w:rPr>
          <w:b/>
          <w:bCs/>
          <w:lang w:bidi="en-US"/>
        </w:rPr>
        <w:t>6</w:t>
      </w:r>
      <w:r w:rsidRPr="00511CEB">
        <w:rPr>
          <w:b/>
          <w:bCs/>
          <w:lang w:bidi="en-US"/>
        </w:rPr>
        <w:t xml:space="preserve"> </w:t>
      </w:r>
      <w:r w:rsidRPr="00511CEB">
        <w:rPr>
          <w:b/>
          <w:bCs/>
          <w:lang w:bidi="en-US"/>
        </w:rPr>
        <w:t>LTCHs</w:t>
      </w:r>
      <w:r w:rsidRPr="00511CEB">
        <w:rPr>
          <w:b/>
          <w:bCs/>
          <w:lang w:bidi="en-US"/>
        </w:rPr>
        <w:t xml:space="preserve"> in the affected CBSAs; they will experience a loss of </w:t>
      </w:r>
      <w:r w:rsidRPr="00511CEB">
        <w:rPr>
          <w:b/>
          <w:bCs/>
          <w:lang w:bidi="en-US"/>
        </w:rPr>
        <w:t xml:space="preserve">approximately </w:t>
      </w:r>
      <w:r w:rsidRPr="00511CEB">
        <w:rPr>
          <w:b/>
          <w:bCs/>
          <w:lang w:bidi="en-US"/>
        </w:rPr>
        <w:t>$</w:t>
      </w:r>
      <w:r w:rsidRPr="00511CEB">
        <w:rPr>
          <w:b/>
          <w:bCs/>
          <w:lang w:bidi="en-US"/>
        </w:rPr>
        <w:t xml:space="preserve">4.7 </w:t>
      </w:r>
      <w:r w:rsidRPr="00511CEB">
        <w:rPr>
          <w:b/>
          <w:bCs/>
          <w:lang w:bidi="en-US"/>
        </w:rPr>
        <w:t xml:space="preserve">million, jeopardizing care for the vulnerable populations they serve. </w:t>
      </w:r>
    </w:p>
    <w:p w14:paraId="692DDD85" w14:textId="0E41EBE7" w:rsidR="00481569" w:rsidRPr="00952B5F" w:rsidRDefault="008B0C20" w:rsidP="00481569">
      <w:pPr>
        <w:tabs>
          <w:tab w:val="left" w:pos="9180"/>
        </w:tabs>
        <w:spacing w:after="0" w:line="240" w:lineRule="auto"/>
        <w:rPr>
          <w:rFonts w:cstheme="minorHAnsi"/>
          <w:b/>
          <w:smallCaps/>
          <w:sz w:val="24"/>
        </w:rPr>
      </w:pPr>
      <w:r w:rsidRPr="00952B5F">
        <w:rPr>
          <w:rFonts w:cstheme="minorHAnsi"/>
          <w:b/>
          <w:smallCaps/>
          <w:sz w:val="24"/>
        </w:rPr>
        <w:t>LTCH</w:t>
      </w:r>
      <w:r w:rsidR="00980481" w:rsidRPr="00952B5F">
        <w:rPr>
          <w:rFonts w:cstheme="minorHAnsi"/>
          <w:b/>
          <w:smallCaps/>
          <w:sz w:val="24"/>
        </w:rPr>
        <w:t xml:space="preserve"> </w:t>
      </w:r>
      <w:r w:rsidR="00481569" w:rsidRPr="00952B5F">
        <w:rPr>
          <w:rFonts w:cstheme="minorHAnsi"/>
          <w:b/>
          <w:smallCaps/>
          <w:sz w:val="24"/>
        </w:rPr>
        <w:t>Quality Reporting Program</w:t>
      </w:r>
    </w:p>
    <w:p w14:paraId="1F98271D" w14:textId="64D47546" w:rsidR="001137C1" w:rsidRPr="00C17C50" w:rsidRDefault="001137C1" w:rsidP="001137C1">
      <w:pPr>
        <w:tabs>
          <w:tab w:val="left" w:pos="9180"/>
        </w:tabs>
        <w:spacing w:after="0" w:line="240" w:lineRule="auto"/>
        <w:rPr>
          <w:rFonts w:cstheme="minorHAnsi"/>
          <w:bCs/>
        </w:rPr>
      </w:pPr>
      <w:r w:rsidRPr="00C17C50">
        <w:rPr>
          <w:rFonts w:cstheme="minorHAnsi"/>
          <w:b/>
          <w:bCs/>
        </w:rPr>
        <w:t xml:space="preserve">CHA supports the proposed changes to the </w:t>
      </w:r>
      <w:r w:rsidR="00980481" w:rsidRPr="00C17C50">
        <w:rPr>
          <w:rFonts w:cstheme="minorHAnsi"/>
          <w:b/>
          <w:bCs/>
        </w:rPr>
        <w:t xml:space="preserve">LTCH </w:t>
      </w:r>
      <w:r w:rsidRPr="00C17C50">
        <w:rPr>
          <w:rFonts w:cstheme="minorHAnsi"/>
          <w:b/>
          <w:bCs/>
        </w:rPr>
        <w:t>Quality Reporting Program</w:t>
      </w:r>
      <w:r w:rsidR="00325A75" w:rsidRPr="00C17C50">
        <w:rPr>
          <w:rFonts w:cstheme="minorHAnsi"/>
          <w:b/>
          <w:bCs/>
        </w:rPr>
        <w:t xml:space="preserve"> (QRP)</w:t>
      </w:r>
      <w:r w:rsidRPr="00C17C50">
        <w:rPr>
          <w:rFonts w:cstheme="minorHAnsi"/>
          <w:bCs/>
        </w:rPr>
        <w:t xml:space="preserve"> and recognizes that these changes are part of a multi-year process to reform patient assessment and quality reporting across multiple levels of care. </w:t>
      </w:r>
    </w:p>
    <w:p w14:paraId="2B213750" w14:textId="77777777" w:rsidR="001137C1" w:rsidRPr="00C17C50" w:rsidRDefault="001137C1" w:rsidP="001137C1">
      <w:pPr>
        <w:tabs>
          <w:tab w:val="left" w:pos="9180"/>
        </w:tabs>
        <w:spacing w:after="0" w:line="240" w:lineRule="auto"/>
        <w:rPr>
          <w:rFonts w:cstheme="minorHAnsi"/>
          <w:color w:val="000000"/>
        </w:rPr>
      </w:pPr>
    </w:p>
    <w:p w14:paraId="3453BF3F" w14:textId="4C0074C1" w:rsidR="001137C1" w:rsidRPr="00C17C50" w:rsidRDefault="001137C1" w:rsidP="001137C1">
      <w:pPr>
        <w:tabs>
          <w:tab w:val="left" w:pos="9180"/>
        </w:tabs>
        <w:spacing w:after="0" w:line="240" w:lineRule="auto"/>
        <w:rPr>
          <w:rFonts w:cstheme="minorHAnsi"/>
          <w:color w:val="000000"/>
        </w:rPr>
      </w:pPr>
      <w:r w:rsidRPr="00C17C50">
        <w:rPr>
          <w:rFonts w:cstheme="minorHAnsi"/>
          <w:color w:val="000000"/>
        </w:rPr>
        <w:t xml:space="preserve">CMS proposes to add two new process measures for the </w:t>
      </w:r>
      <w:r w:rsidR="00980481" w:rsidRPr="00C17C50">
        <w:rPr>
          <w:rFonts w:cstheme="minorHAnsi"/>
          <w:color w:val="000000"/>
        </w:rPr>
        <w:t>LTCH</w:t>
      </w:r>
      <w:r w:rsidRPr="00C17C50">
        <w:rPr>
          <w:rFonts w:cstheme="minorHAnsi"/>
          <w:color w:val="000000"/>
        </w:rPr>
        <w:t xml:space="preserve"> QRP beginning with FFY 2022 for a quality measure domain entitled “Transfer of Health Information.” The first proposed measure, “Transfer of Health Information to the Provider – PAC,” </w:t>
      </w:r>
      <w:r w:rsidRPr="00C17C50">
        <w:rPr>
          <w:rFonts w:cstheme="minorHAnsi"/>
        </w:rPr>
        <w:t xml:space="preserve">would assess whether a current reconciled medication list is given to the subsequent provider when a patient is discharged or transferred from his or her current post-acute care setting. The second proposed measure, </w:t>
      </w:r>
      <w:r w:rsidRPr="00C17C50">
        <w:rPr>
          <w:rFonts w:cstheme="minorHAnsi"/>
          <w:color w:val="000000"/>
        </w:rPr>
        <w:t xml:space="preserve">“Transfer of Health Information to the Patient – PAC,” would assess whether a current reconciled medication list was provided to the patient, family, or caregiver when a patient was discharged from a post-acute care setting to a private home/apartment, board or care home, assisted living, group home, transitional living, or home under care of a home health service organization or hospice. If finalized, </w:t>
      </w:r>
      <w:r w:rsidR="00980481" w:rsidRPr="00C17C50">
        <w:rPr>
          <w:rFonts w:cstheme="minorHAnsi"/>
          <w:color w:val="000000"/>
        </w:rPr>
        <w:t>LTCHs</w:t>
      </w:r>
      <w:r w:rsidRPr="00C17C50">
        <w:rPr>
          <w:rFonts w:cstheme="minorHAnsi"/>
          <w:color w:val="000000"/>
        </w:rPr>
        <w:t xml:space="preserve"> would be required to submit data on these measures beginning in October 2020. </w:t>
      </w:r>
    </w:p>
    <w:p w14:paraId="0BDC9CCC" w14:textId="77777777" w:rsidR="001137C1" w:rsidRPr="00C17C50" w:rsidRDefault="001137C1" w:rsidP="001137C1">
      <w:pPr>
        <w:tabs>
          <w:tab w:val="left" w:pos="9180"/>
        </w:tabs>
        <w:spacing w:after="0" w:line="240" w:lineRule="auto"/>
        <w:rPr>
          <w:rFonts w:cstheme="minorHAnsi"/>
          <w:color w:val="000000"/>
        </w:rPr>
      </w:pPr>
    </w:p>
    <w:p w14:paraId="2977E779" w14:textId="77777777" w:rsidR="001137C1" w:rsidRPr="00C17C50" w:rsidRDefault="001137C1" w:rsidP="001137C1">
      <w:pPr>
        <w:tabs>
          <w:tab w:val="left" w:pos="9180"/>
        </w:tabs>
        <w:spacing w:after="0" w:line="240" w:lineRule="auto"/>
        <w:rPr>
          <w:rFonts w:cstheme="minorHAnsi"/>
          <w:color w:val="000000"/>
        </w:rPr>
      </w:pPr>
      <w:r w:rsidRPr="00C17C50">
        <w:rPr>
          <w:rFonts w:cstheme="minorHAnsi"/>
          <w:color w:val="000000"/>
        </w:rPr>
        <w:t xml:space="preserve">CMS notes that the two measures have been conditionally supported by the National Quality Forum (NQF)’s Measure Applications Partnership (MAP), pending NQF endorsement.  </w:t>
      </w:r>
    </w:p>
    <w:p w14:paraId="77F7CA9F" w14:textId="77777777" w:rsidR="001137C1" w:rsidRPr="00C17C50" w:rsidRDefault="001137C1" w:rsidP="001137C1">
      <w:pPr>
        <w:tabs>
          <w:tab w:val="left" w:pos="9180"/>
        </w:tabs>
        <w:spacing w:after="0" w:line="240" w:lineRule="auto"/>
        <w:rPr>
          <w:rFonts w:cstheme="minorHAnsi"/>
          <w:color w:val="000000"/>
        </w:rPr>
      </w:pPr>
    </w:p>
    <w:p w14:paraId="78252268" w14:textId="77777777" w:rsidR="001137C1" w:rsidRPr="00C17C50" w:rsidRDefault="001137C1" w:rsidP="001137C1">
      <w:pPr>
        <w:tabs>
          <w:tab w:val="left" w:pos="9180"/>
        </w:tabs>
        <w:spacing w:after="0" w:line="240" w:lineRule="auto"/>
        <w:rPr>
          <w:rFonts w:cstheme="minorHAnsi"/>
          <w:b/>
          <w:bCs/>
          <w:color w:val="000000"/>
        </w:rPr>
      </w:pPr>
      <w:r w:rsidRPr="00C17C50">
        <w:rPr>
          <w:rFonts w:cstheme="minorHAnsi"/>
          <w:color w:val="000000"/>
        </w:rPr>
        <w:t xml:space="preserve">CHA supports the addition of measures to address the transfer of health information domain, and we recognize that the accurate communication of a current reconciled medication list to PAC providers, as well as patients and caregivers, is critical to a safe and effective care transition. While we remain concerned that these measures still present many implementation challenges, </w:t>
      </w:r>
      <w:r w:rsidRPr="00C17C50">
        <w:rPr>
          <w:rFonts w:cstheme="minorHAnsi"/>
          <w:b/>
          <w:bCs/>
          <w:color w:val="000000"/>
        </w:rPr>
        <w:t xml:space="preserve">CHA does not oppose the addition of these measures to the </w:t>
      </w:r>
      <w:r w:rsidR="00980481" w:rsidRPr="00C17C50">
        <w:rPr>
          <w:rFonts w:cstheme="minorHAnsi"/>
          <w:b/>
          <w:bCs/>
          <w:color w:val="000000"/>
        </w:rPr>
        <w:t>LTCH</w:t>
      </w:r>
      <w:r w:rsidRPr="00C17C50">
        <w:rPr>
          <w:rFonts w:cstheme="minorHAnsi"/>
          <w:b/>
          <w:bCs/>
          <w:color w:val="000000"/>
        </w:rPr>
        <w:t xml:space="preserve"> QRP. We urge CMS to pursue the rigorous NQF endorsement process for both of these measures and to continue to make refinements to improve feasibility. </w:t>
      </w:r>
    </w:p>
    <w:p w14:paraId="43A5D84E" w14:textId="77777777" w:rsidR="00EE2278" w:rsidRPr="00C17C50" w:rsidRDefault="00EE2278" w:rsidP="001137C1">
      <w:pPr>
        <w:tabs>
          <w:tab w:val="left" w:pos="9180"/>
        </w:tabs>
        <w:spacing w:after="0" w:line="240" w:lineRule="auto"/>
        <w:rPr>
          <w:rFonts w:cstheme="minorHAnsi"/>
          <w:b/>
          <w:bCs/>
          <w:color w:val="000000"/>
        </w:rPr>
      </w:pPr>
    </w:p>
    <w:p w14:paraId="4C681129" w14:textId="3DFA0291" w:rsidR="00481569" w:rsidRPr="00C17C50" w:rsidRDefault="00EE2278" w:rsidP="00481569">
      <w:pPr>
        <w:tabs>
          <w:tab w:val="left" w:pos="9180"/>
        </w:tabs>
        <w:spacing w:after="0" w:line="240" w:lineRule="auto"/>
        <w:rPr>
          <w:rFonts w:cstheme="minorHAnsi"/>
          <w:color w:val="000000"/>
        </w:rPr>
      </w:pPr>
      <w:r w:rsidRPr="00C17C50">
        <w:rPr>
          <w:rFonts w:cstheme="minorHAnsi"/>
          <w:b/>
          <w:bCs/>
          <w:color w:val="000000" w:themeColor="text1"/>
        </w:rPr>
        <w:t>CHA strongly supports</w:t>
      </w:r>
      <w:r w:rsidRPr="00C17C50">
        <w:rPr>
          <w:rFonts w:cstheme="minorHAnsi"/>
          <w:color w:val="000000" w:themeColor="text1"/>
        </w:rPr>
        <w:t xml:space="preserve"> </w:t>
      </w:r>
      <w:r w:rsidRPr="00C17C50">
        <w:rPr>
          <w:rFonts w:cstheme="minorHAnsi"/>
          <w:b/>
          <w:color w:val="000000"/>
        </w:rPr>
        <w:t>CMS’ proposal to update the specifications for the Discharge to Community PAC</w:t>
      </w:r>
      <w:r w:rsidR="009C3C57" w:rsidRPr="00C17C50">
        <w:rPr>
          <w:rFonts w:cstheme="minorHAnsi"/>
          <w:b/>
          <w:color w:val="000000"/>
        </w:rPr>
        <w:t xml:space="preserve"> </w:t>
      </w:r>
      <w:r w:rsidR="00593F65" w:rsidRPr="00C17C50">
        <w:rPr>
          <w:rFonts w:cstheme="minorHAnsi"/>
          <w:b/>
          <w:color w:val="000000"/>
        </w:rPr>
        <w:t xml:space="preserve">LTCH </w:t>
      </w:r>
      <w:r w:rsidRPr="00C17C50">
        <w:rPr>
          <w:rFonts w:cstheme="minorHAnsi"/>
          <w:b/>
          <w:color w:val="000000"/>
        </w:rPr>
        <w:t>QRP measure to exclude baseline nursing facility residents.</w:t>
      </w:r>
      <w:r w:rsidRPr="00C17C50">
        <w:rPr>
          <w:rFonts w:cstheme="minorHAnsi"/>
          <w:color w:val="000000"/>
        </w:rPr>
        <w:t xml:space="preserve"> CMS has found that rates of discharge to community were significantly lower for baseline nursing facility residents compared with non-nursing facility residents. CHA appreciates CMS’ responsiveness to stakeholder comments on this issue.  </w:t>
      </w:r>
    </w:p>
    <w:p w14:paraId="4F673027" w14:textId="77777777" w:rsidR="002660EE" w:rsidRPr="00C17C50" w:rsidRDefault="002660EE" w:rsidP="006B04F3">
      <w:pPr>
        <w:tabs>
          <w:tab w:val="left" w:pos="9180"/>
        </w:tabs>
        <w:spacing w:after="0" w:line="240" w:lineRule="auto"/>
        <w:rPr>
          <w:rFonts w:cstheme="minorHAnsi"/>
          <w:color w:val="000000"/>
        </w:rPr>
      </w:pPr>
    </w:p>
    <w:p w14:paraId="44AF3557" w14:textId="77777777" w:rsidR="005A182A" w:rsidRPr="00952B5F" w:rsidRDefault="002660EE" w:rsidP="002660EE">
      <w:pPr>
        <w:tabs>
          <w:tab w:val="left" w:pos="9180"/>
        </w:tabs>
        <w:spacing w:after="0" w:line="240" w:lineRule="auto"/>
        <w:rPr>
          <w:rFonts w:cstheme="minorHAnsi"/>
          <w:b/>
          <w:smallCaps/>
          <w:sz w:val="24"/>
        </w:rPr>
      </w:pPr>
      <w:r w:rsidRPr="00952B5F">
        <w:rPr>
          <w:rFonts w:cstheme="minorHAnsi"/>
          <w:b/>
          <w:smallCaps/>
          <w:sz w:val="24"/>
        </w:rPr>
        <w:t>Standardized Patient Assessment Data Elements</w:t>
      </w:r>
    </w:p>
    <w:p w14:paraId="109E1709" w14:textId="73A484C1" w:rsidR="005A182A" w:rsidRPr="00C17C50" w:rsidRDefault="005A182A" w:rsidP="005A182A">
      <w:pPr>
        <w:tabs>
          <w:tab w:val="left" w:pos="9180"/>
        </w:tabs>
        <w:spacing w:after="0" w:line="240" w:lineRule="auto"/>
        <w:rPr>
          <w:rFonts w:cstheme="minorHAnsi"/>
        </w:rPr>
      </w:pPr>
      <w:r w:rsidRPr="00C17C50">
        <w:rPr>
          <w:rFonts w:cstheme="minorHAnsi"/>
        </w:rPr>
        <w:t xml:space="preserve">CMS continues </w:t>
      </w:r>
      <w:r w:rsidR="00325A75" w:rsidRPr="00C17C50">
        <w:rPr>
          <w:rFonts w:cstheme="minorHAnsi"/>
        </w:rPr>
        <w:t xml:space="preserve">to implement </w:t>
      </w:r>
      <w:r w:rsidRPr="00C17C50">
        <w:rPr>
          <w:rFonts w:cstheme="minorHAnsi"/>
        </w:rPr>
        <w:t xml:space="preserve">requirements of the Affordable Care Act and the IMPACT Act, including development and implementation of quality measure domains using standardized data elements nested within patient assessment instruments. Similar changes are being implemented in other post-acute levels of care, including </w:t>
      </w:r>
      <w:r w:rsidR="00FD544F" w:rsidRPr="00C17C50">
        <w:rPr>
          <w:rFonts w:cstheme="minorHAnsi"/>
        </w:rPr>
        <w:t>SNFs,</w:t>
      </w:r>
      <w:r w:rsidRPr="00C17C50">
        <w:rPr>
          <w:rFonts w:cstheme="minorHAnsi"/>
        </w:rPr>
        <w:t xml:space="preserve"> </w:t>
      </w:r>
      <w:r w:rsidR="00325A75" w:rsidRPr="00C17C50">
        <w:rPr>
          <w:rFonts w:cstheme="minorHAnsi"/>
        </w:rPr>
        <w:t>IRFs</w:t>
      </w:r>
      <w:r w:rsidRPr="00C17C50">
        <w:rPr>
          <w:rFonts w:cstheme="minorHAnsi"/>
        </w:rPr>
        <w:t xml:space="preserve">, and home health agencies. The changes provide a basis for CMS’ stated goal of developing SPADEs across all levels of care coordination. </w:t>
      </w:r>
    </w:p>
    <w:p w14:paraId="1BE6723D" w14:textId="77777777" w:rsidR="005A182A" w:rsidRPr="00C17C50" w:rsidRDefault="005A182A" w:rsidP="005A182A">
      <w:pPr>
        <w:tabs>
          <w:tab w:val="left" w:pos="9180"/>
        </w:tabs>
        <w:spacing w:after="0" w:line="240" w:lineRule="auto"/>
        <w:rPr>
          <w:rFonts w:cstheme="minorHAnsi"/>
        </w:rPr>
      </w:pPr>
    </w:p>
    <w:p w14:paraId="72B949F3" w14:textId="4D0CFE90" w:rsidR="005A182A" w:rsidRPr="00C17C50" w:rsidRDefault="005A182A" w:rsidP="002660EE">
      <w:pPr>
        <w:tabs>
          <w:tab w:val="left" w:pos="9180"/>
        </w:tabs>
        <w:spacing w:after="0" w:line="240" w:lineRule="auto"/>
        <w:rPr>
          <w:rFonts w:cstheme="minorHAnsi"/>
        </w:rPr>
      </w:pPr>
      <w:r w:rsidRPr="00C17C50">
        <w:rPr>
          <w:rFonts w:cstheme="minorHAnsi"/>
        </w:rPr>
        <w:t xml:space="preserve">In the FFY 2018 </w:t>
      </w:r>
      <w:r w:rsidR="00FD544F" w:rsidRPr="00C17C50">
        <w:rPr>
          <w:rFonts w:cstheme="minorHAnsi"/>
        </w:rPr>
        <w:t xml:space="preserve">IPPS/LTCH </w:t>
      </w:r>
      <w:r w:rsidRPr="00C17C50">
        <w:rPr>
          <w:rFonts w:cstheme="minorHAnsi"/>
        </w:rPr>
        <w:t xml:space="preserve">PPS proposed rule, CMS proposed requiring </w:t>
      </w:r>
      <w:r w:rsidR="00490FF1" w:rsidRPr="00C17C50">
        <w:rPr>
          <w:rFonts w:cstheme="minorHAnsi"/>
        </w:rPr>
        <w:t xml:space="preserve">LTCHs </w:t>
      </w:r>
      <w:r w:rsidRPr="00C17C50">
        <w:rPr>
          <w:rFonts w:cstheme="minorHAnsi"/>
        </w:rPr>
        <w:t xml:space="preserve">to report multiple SPADEs, but ultimately finalized only two. Commenters raised a general concern that CMS was moving too quickly and that further testing was needed. Since then, CMS has continued its assessment and evaluation, most notably by conducting a national beta test across the full care continuum, which </w:t>
      </w:r>
      <w:r w:rsidRPr="00C17C50">
        <w:rPr>
          <w:rFonts w:cstheme="minorHAnsi"/>
        </w:rPr>
        <w:lastRenderedPageBreak/>
        <w:t xml:space="preserve">included several providers in California. We appreciate CMS’ recent efforts to provide additional opportunities for stakeholder communication and input, particularly the stakeholder webinar it held on November 27, 2018, to report on early findings of the test.  </w:t>
      </w:r>
    </w:p>
    <w:p w14:paraId="4956ED88" w14:textId="77777777" w:rsidR="005A182A" w:rsidRPr="00C17C50" w:rsidRDefault="005A182A" w:rsidP="002660EE">
      <w:pPr>
        <w:tabs>
          <w:tab w:val="left" w:pos="9180"/>
        </w:tabs>
        <w:spacing w:after="0" w:line="240" w:lineRule="auto"/>
        <w:rPr>
          <w:rFonts w:cstheme="minorHAnsi"/>
        </w:rPr>
      </w:pPr>
    </w:p>
    <w:p w14:paraId="26E356CB" w14:textId="77777777" w:rsidR="002660EE" w:rsidRPr="00C17C50" w:rsidRDefault="002660EE" w:rsidP="002660EE">
      <w:pPr>
        <w:tabs>
          <w:tab w:val="left" w:pos="9180"/>
        </w:tabs>
        <w:spacing w:after="0" w:line="240" w:lineRule="auto"/>
        <w:rPr>
          <w:rFonts w:cstheme="minorHAnsi"/>
          <w:i/>
          <w:iCs/>
        </w:rPr>
      </w:pPr>
      <w:r w:rsidRPr="00C17C50">
        <w:rPr>
          <w:rFonts w:cstheme="minorHAnsi"/>
          <w:i/>
          <w:iCs/>
        </w:rPr>
        <w:t>Beta Test Results</w:t>
      </w:r>
    </w:p>
    <w:p w14:paraId="7A858229" w14:textId="2DD570BF" w:rsidR="002660EE" w:rsidRPr="00C17C50" w:rsidRDefault="002660EE" w:rsidP="002660EE">
      <w:pPr>
        <w:tabs>
          <w:tab w:val="left" w:pos="9180"/>
        </w:tabs>
        <w:spacing w:after="0" w:line="240" w:lineRule="auto"/>
        <w:rPr>
          <w:rFonts w:cstheme="minorHAnsi"/>
        </w:rPr>
      </w:pPr>
      <w:r w:rsidRPr="00C17C50">
        <w:rPr>
          <w:rFonts w:cstheme="minorHAnsi"/>
        </w:rPr>
        <w:t xml:space="preserve">The </w:t>
      </w:r>
      <w:r w:rsidR="00325A75" w:rsidRPr="00C17C50">
        <w:rPr>
          <w:rFonts w:cstheme="minorHAnsi"/>
        </w:rPr>
        <w:t>b</w:t>
      </w:r>
      <w:r w:rsidRPr="00C17C50">
        <w:rPr>
          <w:rFonts w:cstheme="minorHAnsi"/>
        </w:rPr>
        <w:t>eta test presents an important opportunity for the testing of proposed SPADE</w:t>
      </w:r>
      <w:r w:rsidR="00FD544F" w:rsidRPr="00C17C50">
        <w:rPr>
          <w:rFonts w:cstheme="minorHAnsi"/>
        </w:rPr>
        <w:t>s</w:t>
      </w:r>
      <w:r w:rsidRPr="00C17C50">
        <w:rPr>
          <w:rFonts w:cstheme="minorHAnsi"/>
        </w:rPr>
        <w:t xml:space="preserve"> in real-world clinical settings, and for meaningful input from working clinicians and managers in post-acute care settings. However, CHA believes that the value of the data is undermined by shortcomings in the investigation’s scope and implementation. These significant limitations underscore the need to proceed carefully and thoughtfully with ongoing SPADE implementation.  </w:t>
      </w:r>
    </w:p>
    <w:p w14:paraId="6EDF459E" w14:textId="77777777" w:rsidR="002660EE" w:rsidRPr="00C17C50" w:rsidRDefault="002660EE" w:rsidP="002660EE">
      <w:pPr>
        <w:tabs>
          <w:tab w:val="left" w:pos="9180"/>
        </w:tabs>
        <w:spacing w:after="0" w:line="240" w:lineRule="auto"/>
        <w:rPr>
          <w:rFonts w:cstheme="minorHAnsi"/>
        </w:rPr>
      </w:pPr>
    </w:p>
    <w:p w14:paraId="067EBFCE" w14:textId="1A15F805" w:rsidR="00FE5736" w:rsidRPr="00C17C50" w:rsidRDefault="00FE5736" w:rsidP="00FE5736">
      <w:pPr>
        <w:tabs>
          <w:tab w:val="left" w:pos="9180"/>
        </w:tabs>
        <w:spacing w:after="0" w:line="240" w:lineRule="auto"/>
        <w:rPr>
          <w:rFonts w:cstheme="minorHAnsi"/>
        </w:rPr>
      </w:pPr>
      <w:r w:rsidRPr="00C17C50">
        <w:rPr>
          <w:rFonts w:cstheme="minorHAnsi"/>
        </w:rPr>
        <w:t xml:space="preserve">While CMS took steps to recruit a number of providers and settings in several geographic areas, it is unclear </w:t>
      </w:r>
      <w:r w:rsidR="00324D1D" w:rsidRPr="00C17C50">
        <w:rPr>
          <w:rFonts w:cstheme="minorHAnsi"/>
        </w:rPr>
        <w:t xml:space="preserve">how well the participating selected facilities reflected the overall LTCH community. Lack of information about diagnostic case mix, for example, raises </w:t>
      </w:r>
      <w:r w:rsidRPr="00C17C50">
        <w:rPr>
          <w:rFonts w:cstheme="minorHAnsi"/>
        </w:rPr>
        <w:t xml:space="preserve">serious concerns as to whether </w:t>
      </w:r>
      <w:r w:rsidR="00324D1D" w:rsidRPr="00C17C50">
        <w:rPr>
          <w:rFonts w:cstheme="minorHAnsi"/>
        </w:rPr>
        <w:t xml:space="preserve">the sample </w:t>
      </w:r>
      <w:r w:rsidRPr="00C17C50">
        <w:rPr>
          <w:rFonts w:cstheme="minorHAnsi"/>
        </w:rPr>
        <w:t xml:space="preserve">is representative of the </w:t>
      </w:r>
      <w:r w:rsidR="00324D1D" w:rsidRPr="00C17C50">
        <w:rPr>
          <w:rFonts w:cstheme="minorHAnsi"/>
        </w:rPr>
        <w:t xml:space="preserve">broader </w:t>
      </w:r>
      <w:r w:rsidR="00FD544F" w:rsidRPr="00C17C50">
        <w:rPr>
          <w:rFonts w:cstheme="minorHAnsi"/>
        </w:rPr>
        <w:t xml:space="preserve">LTCH </w:t>
      </w:r>
      <w:r w:rsidRPr="00C17C50">
        <w:rPr>
          <w:rFonts w:cstheme="minorHAnsi"/>
        </w:rPr>
        <w:t>community or the types of patients care</w:t>
      </w:r>
      <w:r w:rsidR="00325A75" w:rsidRPr="00C17C50">
        <w:rPr>
          <w:rFonts w:cstheme="minorHAnsi"/>
        </w:rPr>
        <w:t>d</w:t>
      </w:r>
      <w:r w:rsidRPr="00C17C50">
        <w:rPr>
          <w:rFonts w:cstheme="minorHAnsi"/>
        </w:rPr>
        <w:t xml:space="preserve"> for in this setting. </w:t>
      </w:r>
    </w:p>
    <w:p w14:paraId="4790E99F" w14:textId="77777777" w:rsidR="00FC34F1" w:rsidRPr="00C17C50" w:rsidRDefault="00FC34F1" w:rsidP="00FE5736">
      <w:pPr>
        <w:tabs>
          <w:tab w:val="left" w:pos="9180"/>
        </w:tabs>
        <w:spacing w:after="0" w:line="240" w:lineRule="auto"/>
        <w:rPr>
          <w:rFonts w:cstheme="minorHAnsi"/>
        </w:rPr>
      </w:pPr>
    </w:p>
    <w:p w14:paraId="1D5F63E9" w14:textId="41F7B2E4" w:rsidR="00FC34F1" w:rsidRPr="00C17C50" w:rsidRDefault="00FC34F1" w:rsidP="00FC34F1">
      <w:pPr>
        <w:tabs>
          <w:tab w:val="left" w:pos="9180"/>
        </w:tabs>
        <w:spacing w:after="0" w:line="240" w:lineRule="auto"/>
        <w:rPr>
          <w:rFonts w:cstheme="minorHAnsi"/>
        </w:rPr>
      </w:pPr>
      <w:r w:rsidRPr="00C17C50">
        <w:rPr>
          <w:rFonts w:cstheme="minorHAnsi"/>
        </w:rPr>
        <w:t>CHA member</w:t>
      </w:r>
      <w:r w:rsidR="00C563C4" w:rsidRPr="00C17C50">
        <w:rPr>
          <w:rFonts w:cstheme="minorHAnsi"/>
        </w:rPr>
        <w:t>s</w:t>
      </w:r>
      <w:r w:rsidRPr="00C17C50">
        <w:rPr>
          <w:rFonts w:cstheme="minorHAnsi"/>
        </w:rPr>
        <w:t xml:space="preserve"> have expressed grave concerns about the beta test’s reported exclusion of patients with communication and cognitive impairments, who comprise a significant portion of </w:t>
      </w:r>
      <w:r w:rsidR="00324D1D" w:rsidRPr="00C17C50">
        <w:rPr>
          <w:rFonts w:cstheme="minorHAnsi"/>
        </w:rPr>
        <w:t xml:space="preserve">LTCH </w:t>
      </w:r>
      <w:r w:rsidRPr="00C17C50">
        <w:rPr>
          <w:rFonts w:cstheme="minorHAnsi"/>
        </w:rPr>
        <w:t xml:space="preserve">admissions and require significantly different — and frequently greater — intervention and resources than a patient with physical deficits only. Assessing patients with communication or cognitive impairments simply takes longer, due to the need to provide necessary accommodations and validate responses. The omission of these patients from the beta test undermines our ability to draw conclusions about the </w:t>
      </w:r>
      <w:r w:rsidR="00FD544F" w:rsidRPr="00C17C50">
        <w:rPr>
          <w:rFonts w:cstheme="minorHAnsi"/>
        </w:rPr>
        <w:t>SPADE</w:t>
      </w:r>
      <w:r w:rsidR="003322C9" w:rsidRPr="00C17C50">
        <w:rPr>
          <w:rFonts w:cstheme="minorHAnsi"/>
        </w:rPr>
        <w:t>s</w:t>
      </w:r>
      <w:r w:rsidR="00FD544F" w:rsidRPr="00C17C50">
        <w:rPr>
          <w:rFonts w:cstheme="minorHAnsi"/>
        </w:rPr>
        <w:t xml:space="preserve"> </w:t>
      </w:r>
      <w:r w:rsidRPr="00C17C50">
        <w:rPr>
          <w:rFonts w:cstheme="minorHAnsi"/>
        </w:rPr>
        <w:t xml:space="preserve">applicability for the broader </w:t>
      </w:r>
      <w:r w:rsidR="00324D1D" w:rsidRPr="00C17C50">
        <w:rPr>
          <w:rFonts w:cstheme="minorHAnsi"/>
        </w:rPr>
        <w:t>LTCH</w:t>
      </w:r>
      <w:r w:rsidRPr="00C17C50">
        <w:rPr>
          <w:rFonts w:cstheme="minorHAnsi"/>
        </w:rPr>
        <w:t xml:space="preserve"> population, such as how long the proposed assessment measures will take to complete in the clinical setting. Because CMS does not address if/how the </w:t>
      </w:r>
      <w:r w:rsidR="00FD544F" w:rsidRPr="00C17C50">
        <w:rPr>
          <w:rFonts w:cstheme="minorHAnsi"/>
        </w:rPr>
        <w:t xml:space="preserve">elements </w:t>
      </w:r>
      <w:r w:rsidRPr="00C17C50">
        <w:rPr>
          <w:rFonts w:cstheme="minorHAnsi"/>
        </w:rPr>
        <w:t xml:space="preserve">or their administration can be modified, we question CMS’ conclusions about their overall validity and reliability.  </w:t>
      </w:r>
    </w:p>
    <w:p w14:paraId="6F88B1BE" w14:textId="77777777" w:rsidR="00FC34F1" w:rsidRPr="00C17C50" w:rsidRDefault="00FC34F1" w:rsidP="00FC34F1">
      <w:pPr>
        <w:tabs>
          <w:tab w:val="left" w:pos="9180"/>
        </w:tabs>
        <w:spacing w:after="0" w:line="240" w:lineRule="auto"/>
        <w:rPr>
          <w:rFonts w:cstheme="minorHAnsi"/>
        </w:rPr>
      </w:pPr>
    </w:p>
    <w:p w14:paraId="6A17A687" w14:textId="03E826FF" w:rsidR="00FE5736" w:rsidRPr="00C17C50" w:rsidRDefault="00FC34F1" w:rsidP="00FE5736">
      <w:pPr>
        <w:tabs>
          <w:tab w:val="left" w:pos="9180"/>
        </w:tabs>
        <w:spacing w:after="0" w:line="240" w:lineRule="auto"/>
        <w:rPr>
          <w:rFonts w:cstheme="minorHAnsi"/>
        </w:rPr>
      </w:pPr>
      <w:r w:rsidRPr="00C17C50">
        <w:rPr>
          <w:rFonts w:cstheme="minorHAnsi"/>
        </w:rPr>
        <w:t xml:space="preserve">Even among </w:t>
      </w:r>
      <w:r w:rsidR="00324D1D" w:rsidRPr="00C17C50">
        <w:rPr>
          <w:rFonts w:cstheme="minorHAnsi"/>
        </w:rPr>
        <w:t>LTCH</w:t>
      </w:r>
      <w:r w:rsidRPr="00C17C50">
        <w:rPr>
          <w:rFonts w:cstheme="minorHAnsi"/>
        </w:rPr>
        <w:t xml:space="preserve"> patients able to participate in the interview questions, many will have mild or moderate deficits in communication or cognition that will affect their ability to respond accurately. Representatives of CMS and the RAND Corporation acknowledged this concern in the November 27, 2018, stakeholder call.   </w:t>
      </w:r>
      <w:r w:rsidR="00FE5736" w:rsidRPr="00C17C50">
        <w:rPr>
          <w:rFonts w:cstheme="minorHAnsi"/>
        </w:rPr>
        <w:t xml:space="preserve"> </w:t>
      </w:r>
    </w:p>
    <w:p w14:paraId="285C8773" w14:textId="77777777" w:rsidR="00FC34F1" w:rsidRPr="00C17C50" w:rsidRDefault="00FC34F1" w:rsidP="00FC34F1">
      <w:pPr>
        <w:tabs>
          <w:tab w:val="left" w:pos="9180"/>
        </w:tabs>
        <w:spacing w:after="0" w:line="240" w:lineRule="auto"/>
        <w:rPr>
          <w:rFonts w:cstheme="minorHAnsi"/>
          <w:color w:val="000000"/>
        </w:rPr>
      </w:pPr>
    </w:p>
    <w:p w14:paraId="00C50AAB" w14:textId="6F5F0F3B" w:rsidR="00FC34F1" w:rsidRPr="00C17C50" w:rsidRDefault="00FC34F1" w:rsidP="00FC34F1">
      <w:pPr>
        <w:tabs>
          <w:tab w:val="left" w:pos="9180"/>
        </w:tabs>
        <w:spacing w:after="0" w:line="240" w:lineRule="auto"/>
        <w:rPr>
          <w:rFonts w:cstheme="minorHAnsi"/>
          <w:color w:val="000000"/>
        </w:rPr>
      </w:pPr>
      <w:r w:rsidRPr="00C17C50">
        <w:rPr>
          <w:rFonts w:cstheme="minorHAnsi"/>
          <w:color w:val="000000"/>
        </w:rPr>
        <w:t>Additionally, we understand that the testing did not include non-English speaking patients, who represent a significant portion of the population at many of our member organiz</w:t>
      </w:r>
      <w:r w:rsidRPr="00C17C50">
        <w:rPr>
          <w:rFonts w:cstheme="minorHAnsi"/>
        </w:rPr>
        <w:t>ations. Nearly 44</w:t>
      </w:r>
      <w:r w:rsidR="00DD35F9" w:rsidRPr="00C17C50">
        <w:rPr>
          <w:rFonts w:cstheme="minorHAnsi"/>
        </w:rPr>
        <w:t>%</w:t>
      </w:r>
      <w:r w:rsidRPr="00C17C50">
        <w:rPr>
          <w:rFonts w:cstheme="minorHAnsi"/>
        </w:rPr>
        <w:t xml:space="preserve"> of California residents speak a language other than English at home, higher than any other state in the nation. Nearly one in five California residents </w:t>
      </w:r>
      <w:r w:rsidR="003322C9" w:rsidRPr="00C17C50">
        <w:rPr>
          <w:rFonts w:cstheme="minorHAnsi"/>
        </w:rPr>
        <w:t>is</w:t>
      </w:r>
      <w:r w:rsidRPr="00C17C50">
        <w:rPr>
          <w:rFonts w:cstheme="minorHAnsi"/>
        </w:rPr>
        <w:t xml:space="preserve"> considered limited</w:t>
      </w:r>
      <w:r w:rsidR="00C71F1E">
        <w:rPr>
          <w:rFonts w:cstheme="minorHAnsi"/>
        </w:rPr>
        <w:t>-</w:t>
      </w:r>
      <w:r w:rsidRPr="00C17C50">
        <w:rPr>
          <w:rFonts w:cstheme="minorHAnsi"/>
        </w:rPr>
        <w:t>English proficient. Limiting testing to English-speaking individuals limit</w:t>
      </w:r>
      <w:r w:rsidRPr="00C17C50">
        <w:rPr>
          <w:rFonts w:cstheme="minorHAnsi"/>
          <w:color w:val="000000"/>
        </w:rPr>
        <w:t xml:space="preserve">s our ability to assess the </w:t>
      </w:r>
      <w:r w:rsidR="00C17C50" w:rsidRPr="00C17C50">
        <w:rPr>
          <w:rFonts w:cstheme="minorHAnsi"/>
          <w:color w:val="000000"/>
        </w:rPr>
        <w:t>elements</w:t>
      </w:r>
      <w:r w:rsidR="00952B5F">
        <w:rPr>
          <w:rFonts w:cstheme="minorHAnsi"/>
          <w:color w:val="000000"/>
        </w:rPr>
        <w:t>’</w:t>
      </w:r>
      <w:r w:rsidRPr="00C17C50">
        <w:rPr>
          <w:rFonts w:cstheme="minorHAnsi"/>
          <w:color w:val="000000"/>
        </w:rPr>
        <w:t xml:space="preserve"> value in a diverse patient population and brings into question the</w:t>
      </w:r>
      <w:r w:rsidR="003322C9" w:rsidRPr="00C17C50">
        <w:rPr>
          <w:rFonts w:cstheme="minorHAnsi"/>
          <w:color w:val="000000"/>
        </w:rPr>
        <w:t>ir</w:t>
      </w:r>
      <w:r w:rsidRPr="00C17C50">
        <w:rPr>
          <w:rFonts w:cstheme="minorHAnsi"/>
          <w:color w:val="000000"/>
        </w:rPr>
        <w:t xml:space="preserve"> validity. </w:t>
      </w:r>
    </w:p>
    <w:p w14:paraId="2236E4F7" w14:textId="77777777" w:rsidR="00324D1D" w:rsidRPr="00C17C50" w:rsidRDefault="00324D1D" w:rsidP="00FC34F1">
      <w:pPr>
        <w:tabs>
          <w:tab w:val="left" w:pos="9180"/>
        </w:tabs>
        <w:spacing w:after="0" w:line="240" w:lineRule="auto"/>
        <w:rPr>
          <w:rFonts w:cstheme="minorHAnsi"/>
          <w:color w:val="000000"/>
        </w:rPr>
      </w:pPr>
    </w:p>
    <w:p w14:paraId="2EFA9CF7" w14:textId="7359D56C" w:rsidR="00324D1D" w:rsidRPr="00C17C50" w:rsidRDefault="00324D1D" w:rsidP="00FC34F1">
      <w:pPr>
        <w:tabs>
          <w:tab w:val="left" w:pos="9180"/>
        </w:tabs>
        <w:spacing w:after="0" w:line="240" w:lineRule="auto"/>
        <w:rPr>
          <w:rFonts w:cstheme="minorHAnsi"/>
          <w:color w:val="000000"/>
        </w:rPr>
      </w:pPr>
      <w:r w:rsidRPr="00C17C50">
        <w:rPr>
          <w:rFonts w:cstheme="minorHAnsi"/>
          <w:color w:val="000000"/>
        </w:rPr>
        <w:t>Many of the proposed SPADE</w:t>
      </w:r>
      <w:r w:rsidR="00FD544F" w:rsidRPr="00C17C50">
        <w:rPr>
          <w:rFonts w:cstheme="minorHAnsi"/>
          <w:color w:val="000000"/>
        </w:rPr>
        <w:t>s</w:t>
      </w:r>
      <w:r w:rsidRPr="00C17C50">
        <w:rPr>
          <w:rFonts w:cstheme="minorHAnsi"/>
          <w:color w:val="000000"/>
        </w:rPr>
        <w:t xml:space="preserve"> are of limited value in the LTCH setting. For example, some of the questions require that the patient consider </w:t>
      </w:r>
      <w:r w:rsidR="009F02F2" w:rsidRPr="00C17C50">
        <w:rPr>
          <w:rFonts w:cstheme="minorHAnsi"/>
          <w:color w:val="000000"/>
        </w:rPr>
        <w:t>a</w:t>
      </w:r>
      <w:r w:rsidRPr="00C17C50">
        <w:rPr>
          <w:rFonts w:cstheme="minorHAnsi"/>
          <w:color w:val="000000"/>
        </w:rPr>
        <w:t xml:space="preserve"> previous t</w:t>
      </w:r>
      <w:r w:rsidR="009F02F2" w:rsidRPr="00C17C50">
        <w:rPr>
          <w:rFonts w:cstheme="minorHAnsi"/>
          <w:color w:val="000000"/>
        </w:rPr>
        <w:t xml:space="preserve">ime frame </w:t>
      </w:r>
      <w:r w:rsidRPr="00C17C50">
        <w:rPr>
          <w:rFonts w:cstheme="minorHAnsi"/>
          <w:color w:val="000000"/>
        </w:rPr>
        <w:t>when responding</w:t>
      </w:r>
      <w:r w:rsidR="00C71F1E">
        <w:rPr>
          <w:rFonts w:cstheme="minorHAnsi"/>
          <w:color w:val="000000"/>
        </w:rPr>
        <w:t xml:space="preserve"> (</w:t>
      </w:r>
      <w:r w:rsidR="009F02F2" w:rsidRPr="00C17C50">
        <w:rPr>
          <w:rFonts w:cstheme="minorHAnsi"/>
          <w:color w:val="000000"/>
        </w:rPr>
        <w:t xml:space="preserve">in the </w:t>
      </w:r>
      <w:r w:rsidRPr="00C17C50">
        <w:rPr>
          <w:rFonts w:cstheme="minorHAnsi"/>
          <w:color w:val="000000"/>
        </w:rPr>
        <w:t>Mood Interview</w:t>
      </w:r>
      <w:r w:rsidR="009F02F2" w:rsidRPr="00C17C50">
        <w:rPr>
          <w:rFonts w:cstheme="minorHAnsi"/>
          <w:color w:val="000000"/>
        </w:rPr>
        <w:t xml:space="preserve"> a patient is asked, “Over the last 2 weeks, have you been bothered by any of the following?”). The typical patient admitted to an LTCH after several days in the ICU is unlikely to be able to respond accurately to this inquiry or to recall activities occurring days earlier.  </w:t>
      </w:r>
    </w:p>
    <w:p w14:paraId="5F648EC7" w14:textId="77777777" w:rsidR="00FC34F1" w:rsidRPr="00C17C50" w:rsidRDefault="00FC34F1" w:rsidP="00FC34F1">
      <w:pPr>
        <w:tabs>
          <w:tab w:val="left" w:pos="9180"/>
        </w:tabs>
        <w:spacing w:after="0" w:line="240" w:lineRule="auto"/>
        <w:rPr>
          <w:rFonts w:cstheme="minorHAnsi"/>
          <w:color w:val="000000"/>
        </w:rPr>
      </w:pPr>
    </w:p>
    <w:p w14:paraId="2FC63EB9" w14:textId="77777777" w:rsidR="002660EE" w:rsidRPr="00C17C50" w:rsidRDefault="00FC34F1" w:rsidP="002660EE">
      <w:pPr>
        <w:tabs>
          <w:tab w:val="left" w:pos="9180"/>
        </w:tabs>
        <w:spacing w:after="0" w:line="240" w:lineRule="auto"/>
        <w:rPr>
          <w:rFonts w:cstheme="minorHAnsi"/>
          <w:b/>
          <w:color w:val="000000"/>
        </w:rPr>
      </w:pPr>
      <w:r w:rsidRPr="00C17C50">
        <w:rPr>
          <w:rFonts w:cstheme="minorHAnsi"/>
          <w:color w:val="000000"/>
        </w:rPr>
        <w:t xml:space="preserve">It is critical that the next steps in SPADE implementation consider the limitations of the currently available data. </w:t>
      </w:r>
      <w:r w:rsidRPr="00C17C50">
        <w:rPr>
          <w:rFonts w:cstheme="minorHAnsi"/>
          <w:b/>
          <w:color w:val="000000"/>
        </w:rPr>
        <w:t xml:space="preserve">We ask that CMS limit the number and types of SPADEs implemented in the coming </w:t>
      </w:r>
      <w:r w:rsidRPr="00C17C50">
        <w:rPr>
          <w:rFonts w:cstheme="minorHAnsi"/>
          <w:b/>
          <w:color w:val="000000"/>
        </w:rPr>
        <w:lastRenderedPageBreak/>
        <w:t xml:space="preserve">year, continue an ongoing dialogue with stakeholders, and develop and implement a process to assess the value of specific indicators for all patient types on an ongoing basis.  </w:t>
      </w:r>
    </w:p>
    <w:p w14:paraId="636119DE" w14:textId="77777777" w:rsidR="00C563C4" w:rsidRPr="00C17C50" w:rsidRDefault="00C563C4" w:rsidP="002660EE">
      <w:pPr>
        <w:tabs>
          <w:tab w:val="left" w:pos="9180"/>
        </w:tabs>
        <w:spacing w:after="0" w:line="240" w:lineRule="auto"/>
        <w:rPr>
          <w:rFonts w:cstheme="minorHAnsi"/>
          <w:b/>
          <w:color w:val="000000"/>
        </w:rPr>
      </w:pPr>
    </w:p>
    <w:p w14:paraId="1F2A519C" w14:textId="77777777" w:rsidR="00FC34F1" w:rsidRPr="00C17C50" w:rsidRDefault="00FC34F1" w:rsidP="002660EE">
      <w:pPr>
        <w:tabs>
          <w:tab w:val="left" w:pos="9180"/>
        </w:tabs>
        <w:spacing w:after="0" w:line="240" w:lineRule="auto"/>
        <w:rPr>
          <w:rFonts w:cstheme="minorHAnsi"/>
          <w:color w:val="000000"/>
        </w:rPr>
      </w:pPr>
      <w:r w:rsidRPr="00C17C50">
        <w:rPr>
          <w:rFonts w:cstheme="minorHAnsi"/>
          <w:color w:val="000000"/>
        </w:rPr>
        <w:t xml:space="preserve">Moreover, CMS should make available the data set that was developed as part of the national beta test. Allowing all parties access will lead to a richer and more informed policy discussion going forward. Releasing the data set would benefit CMS because, through additional third-party analysis, stakeholders will be able to more fully understand the potential impact on their organizations, leading to more informed and robust comments. CHA urges CMS to make the SPADE data set available — and update it as appropriate — so that other external parties and stakeholders may not only replicate CMS’ analysis, but also offer additional analysis for consideration. </w:t>
      </w:r>
    </w:p>
    <w:p w14:paraId="3589A018" w14:textId="77777777" w:rsidR="002660EE" w:rsidRPr="00C17C50" w:rsidRDefault="002660EE" w:rsidP="002660EE">
      <w:pPr>
        <w:tabs>
          <w:tab w:val="left" w:pos="9180"/>
        </w:tabs>
        <w:spacing w:after="0" w:line="240" w:lineRule="auto"/>
        <w:rPr>
          <w:rFonts w:cstheme="minorHAnsi"/>
          <w:color w:val="000000"/>
        </w:rPr>
      </w:pPr>
    </w:p>
    <w:p w14:paraId="7BCF8B10" w14:textId="77777777" w:rsidR="00FC34F1" w:rsidRPr="00C17C50" w:rsidRDefault="00FC34F1" w:rsidP="00FC34F1">
      <w:pPr>
        <w:tabs>
          <w:tab w:val="left" w:pos="9180"/>
        </w:tabs>
        <w:spacing w:after="0" w:line="240" w:lineRule="auto"/>
        <w:rPr>
          <w:rFonts w:cstheme="minorHAnsi"/>
          <w:i/>
          <w:iCs/>
          <w:color w:val="000000"/>
        </w:rPr>
      </w:pPr>
      <w:r w:rsidRPr="00C17C50">
        <w:rPr>
          <w:rFonts w:cstheme="minorHAnsi"/>
          <w:i/>
          <w:iCs/>
          <w:color w:val="000000"/>
        </w:rPr>
        <w:t xml:space="preserve">New Proposed SPADEs  </w:t>
      </w:r>
    </w:p>
    <w:p w14:paraId="6416D68D" w14:textId="1FCC3B20" w:rsidR="00FC34F1" w:rsidRPr="00C17C50" w:rsidRDefault="00FC34F1" w:rsidP="00FC34F1">
      <w:pPr>
        <w:tabs>
          <w:tab w:val="left" w:pos="9180"/>
        </w:tabs>
        <w:spacing w:after="0" w:line="240" w:lineRule="auto"/>
        <w:rPr>
          <w:rFonts w:cstheme="minorHAnsi"/>
          <w:color w:val="000000"/>
        </w:rPr>
      </w:pPr>
      <w:r w:rsidRPr="00C17C50">
        <w:rPr>
          <w:rFonts w:cstheme="minorHAnsi"/>
          <w:color w:val="000000"/>
        </w:rPr>
        <w:t>CMS proposes the implementation of several new, non-tested SPADEs and a new assessment domain. The new SPADEs include indicators designed to address use and indications of high-risk drug classes, interference of pain with therapy and activities, as well as several directed at collecting information on social determinants of health</w:t>
      </w:r>
      <w:r w:rsidR="006F40F5">
        <w:rPr>
          <w:rFonts w:cstheme="minorHAnsi"/>
          <w:color w:val="000000"/>
        </w:rPr>
        <w:t xml:space="preserve"> (SDOH)</w:t>
      </w:r>
      <w:r w:rsidRPr="00C17C50">
        <w:rPr>
          <w:rFonts w:cstheme="minorHAnsi"/>
          <w:color w:val="000000"/>
        </w:rPr>
        <w:t xml:space="preserve">.  </w:t>
      </w:r>
    </w:p>
    <w:p w14:paraId="5B31D53C" w14:textId="77777777" w:rsidR="00FC34F1" w:rsidRPr="00C17C50" w:rsidRDefault="00FC34F1" w:rsidP="00FC34F1">
      <w:pPr>
        <w:tabs>
          <w:tab w:val="left" w:pos="9180"/>
        </w:tabs>
        <w:spacing w:after="0" w:line="240" w:lineRule="auto"/>
        <w:rPr>
          <w:rFonts w:cstheme="minorHAnsi"/>
          <w:color w:val="000000"/>
        </w:rPr>
      </w:pPr>
    </w:p>
    <w:p w14:paraId="21CE3BDC" w14:textId="559D2B06" w:rsidR="00FC34F1" w:rsidRPr="00C17C50" w:rsidRDefault="00FC34F1" w:rsidP="00FC34F1">
      <w:pPr>
        <w:tabs>
          <w:tab w:val="left" w:pos="9180"/>
        </w:tabs>
        <w:spacing w:after="0" w:line="240" w:lineRule="auto"/>
        <w:rPr>
          <w:rFonts w:cstheme="minorHAnsi"/>
          <w:bCs/>
        </w:rPr>
      </w:pPr>
      <w:r w:rsidRPr="00C17C50">
        <w:rPr>
          <w:rFonts w:cstheme="minorHAnsi"/>
          <w:bCs/>
        </w:rPr>
        <w:t xml:space="preserve">CHA supports and applauds CMS’ recognition of the impact of SDOH, as well as its efforts to implement a data collection process for social risk factors. We are concerned, however, that CMS proposes to implement untested data elements. The lack of an adequate pilot or </w:t>
      </w:r>
      <w:r w:rsidR="00C455AD" w:rsidRPr="00C17C50">
        <w:rPr>
          <w:rFonts w:cstheme="minorHAnsi"/>
          <w:bCs/>
        </w:rPr>
        <w:t xml:space="preserve">testing period </w:t>
      </w:r>
      <w:r w:rsidRPr="00C17C50">
        <w:rPr>
          <w:rFonts w:cstheme="minorHAnsi"/>
          <w:bCs/>
        </w:rPr>
        <w:t xml:space="preserve">denies all stakeholders, including CMS, the ability to determine whether the new measures are accurate and valuable or identify the operational implications of their implementation. CMS should first develop a thoughtful data analysis plan, as it has done in other provider settings, that uses a proxy for SDOH to help inform next steps in data collection at the patient level. </w:t>
      </w:r>
      <w:r w:rsidR="00530D79" w:rsidRPr="00C17C50">
        <w:rPr>
          <w:rFonts w:cstheme="minorHAnsi"/>
          <w:bCs/>
        </w:rPr>
        <w:t>While well-intended, a</w:t>
      </w:r>
      <w:r w:rsidRPr="00C17C50">
        <w:rPr>
          <w:rFonts w:cstheme="minorHAnsi"/>
          <w:bCs/>
        </w:rPr>
        <w:t>ssuming</w:t>
      </w:r>
      <w:r w:rsidR="00530D79" w:rsidRPr="00C17C50">
        <w:rPr>
          <w:rFonts w:cstheme="minorHAnsi"/>
          <w:bCs/>
        </w:rPr>
        <w:t xml:space="preserve"> the proposed items are applicable and valuable, absent</w:t>
      </w:r>
      <w:r w:rsidRPr="00C17C50">
        <w:rPr>
          <w:rFonts w:cstheme="minorHAnsi"/>
          <w:bCs/>
        </w:rPr>
        <w:t xml:space="preserve"> any analytic support, is premature.  </w:t>
      </w:r>
    </w:p>
    <w:p w14:paraId="7FDB3152" w14:textId="77777777" w:rsidR="00FC34F1" w:rsidRPr="00C17C50" w:rsidRDefault="00FC34F1" w:rsidP="00FC34F1">
      <w:pPr>
        <w:tabs>
          <w:tab w:val="left" w:pos="9180"/>
        </w:tabs>
        <w:spacing w:after="0" w:line="240" w:lineRule="auto"/>
        <w:rPr>
          <w:rFonts w:cstheme="minorHAnsi"/>
          <w:bCs/>
        </w:rPr>
      </w:pPr>
    </w:p>
    <w:p w14:paraId="17002528" w14:textId="77777777" w:rsidR="00FB4EAA" w:rsidRPr="00C17C50" w:rsidRDefault="00FC34F1" w:rsidP="00C563C4">
      <w:pPr>
        <w:tabs>
          <w:tab w:val="left" w:pos="9180"/>
        </w:tabs>
        <w:spacing w:after="0" w:line="240" w:lineRule="auto"/>
        <w:rPr>
          <w:rFonts w:cstheme="minorHAnsi"/>
          <w:bCs/>
        </w:rPr>
      </w:pPr>
      <w:r w:rsidRPr="00C17C50">
        <w:rPr>
          <w:rFonts w:cstheme="minorHAnsi"/>
          <w:bCs/>
        </w:rPr>
        <w:t xml:space="preserve">This critical effort warrants a more thoughtful and considered approach than that of the current proposal. Our shared goals would be more effectively served by reviewing the proposed measures and alternatives, as well as their intended use both short term and long term, and in greater detail prior to required implementation.  </w:t>
      </w:r>
    </w:p>
    <w:p w14:paraId="7B9E2780" w14:textId="77777777" w:rsidR="00C563C4" w:rsidRPr="00C17C50" w:rsidRDefault="00C563C4" w:rsidP="00C563C4">
      <w:pPr>
        <w:tabs>
          <w:tab w:val="left" w:pos="9180"/>
        </w:tabs>
        <w:spacing w:after="0" w:line="240" w:lineRule="auto"/>
        <w:rPr>
          <w:rFonts w:cstheme="minorHAnsi"/>
          <w:color w:val="000000"/>
        </w:rPr>
      </w:pPr>
    </w:p>
    <w:p w14:paraId="7D5E4DA3" w14:textId="77777777" w:rsidR="00FB4EAA" w:rsidRPr="00C17C50" w:rsidRDefault="00FB4EAA" w:rsidP="00FB4EAA">
      <w:pPr>
        <w:pStyle w:val="Default"/>
        <w:rPr>
          <w:rFonts w:asciiTheme="minorHAnsi" w:hAnsiTheme="minorHAnsi" w:cstheme="minorHAnsi"/>
          <w:i/>
          <w:iCs/>
          <w:sz w:val="22"/>
          <w:szCs w:val="22"/>
        </w:rPr>
      </w:pPr>
      <w:r w:rsidRPr="00C17C50">
        <w:rPr>
          <w:rFonts w:asciiTheme="minorHAnsi" w:hAnsiTheme="minorHAnsi" w:cstheme="minorHAnsi"/>
          <w:i/>
          <w:iCs/>
          <w:sz w:val="22"/>
          <w:szCs w:val="22"/>
        </w:rPr>
        <w:t>Operational Implications</w:t>
      </w:r>
    </w:p>
    <w:p w14:paraId="25D55509" w14:textId="34E759EB" w:rsidR="00FB4EAA" w:rsidRPr="00C17C50" w:rsidRDefault="00FB4EAA" w:rsidP="00FB4EAA">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The current proposal represents a significant increase in the data collection and reporting requirements for </w:t>
      </w:r>
      <w:r w:rsidR="00C455AD" w:rsidRPr="00C17C50">
        <w:rPr>
          <w:rFonts w:asciiTheme="minorHAnsi" w:hAnsiTheme="minorHAnsi" w:cstheme="minorHAnsi"/>
          <w:sz w:val="22"/>
          <w:szCs w:val="22"/>
        </w:rPr>
        <w:t>LTCHs</w:t>
      </w:r>
      <w:r w:rsidRPr="00C17C50">
        <w:rPr>
          <w:rFonts w:asciiTheme="minorHAnsi" w:hAnsiTheme="minorHAnsi" w:cstheme="minorHAnsi"/>
          <w:sz w:val="22"/>
          <w:szCs w:val="22"/>
        </w:rPr>
        <w:t xml:space="preserve">. The actual time and cost impact of these new requirements will be considerably higher than CMS estimates.  </w:t>
      </w:r>
    </w:p>
    <w:p w14:paraId="042C06A0" w14:textId="77777777" w:rsidR="00FB4EAA" w:rsidRPr="00C17C50" w:rsidRDefault="00FB4EAA" w:rsidP="00FB4EAA">
      <w:pPr>
        <w:pStyle w:val="Default"/>
        <w:rPr>
          <w:rFonts w:asciiTheme="minorHAnsi" w:hAnsiTheme="minorHAnsi" w:cstheme="minorHAnsi"/>
          <w:sz w:val="22"/>
          <w:szCs w:val="22"/>
        </w:rPr>
      </w:pPr>
    </w:p>
    <w:p w14:paraId="2806DF20" w14:textId="28BCCD27" w:rsidR="00FB4EAA" w:rsidRPr="00C17C50" w:rsidRDefault="00FB4EAA" w:rsidP="002660EE">
      <w:pPr>
        <w:pStyle w:val="Default"/>
        <w:rPr>
          <w:rFonts w:asciiTheme="minorHAnsi" w:hAnsiTheme="minorHAnsi" w:cstheme="minorHAnsi"/>
          <w:i/>
          <w:iCs/>
          <w:sz w:val="22"/>
          <w:szCs w:val="22"/>
        </w:rPr>
      </w:pPr>
      <w:r w:rsidRPr="00C17C50">
        <w:rPr>
          <w:rFonts w:asciiTheme="minorHAnsi" w:hAnsiTheme="minorHAnsi" w:cstheme="minorHAnsi"/>
          <w:sz w:val="22"/>
          <w:szCs w:val="22"/>
        </w:rPr>
        <w:t>California post-acute care provider beta</w:t>
      </w:r>
      <w:r w:rsidR="00F452AB" w:rsidRPr="00C17C50">
        <w:rPr>
          <w:rFonts w:asciiTheme="minorHAnsi" w:hAnsiTheme="minorHAnsi" w:cstheme="minorHAnsi"/>
          <w:sz w:val="22"/>
          <w:szCs w:val="22"/>
        </w:rPr>
        <w:t xml:space="preserve"> </w:t>
      </w:r>
      <w:r w:rsidRPr="00C17C50">
        <w:rPr>
          <w:rFonts w:asciiTheme="minorHAnsi" w:hAnsiTheme="minorHAnsi" w:cstheme="minorHAnsi"/>
          <w:sz w:val="22"/>
          <w:szCs w:val="22"/>
        </w:rPr>
        <w:t xml:space="preserve">test participants </w:t>
      </w:r>
      <w:r w:rsidR="00530D79" w:rsidRPr="00C17C50">
        <w:rPr>
          <w:rFonts w:asciiTheme="minorHAnsi" w:hAnsiTheme="minorHAnsi" w:cstheme="minorHAnsi"/>
          <w:sz w:val="22"/>
          <w:szCs w:val="22"/>
        </w:rPr>
        <w:t xml:space="preserve">note </w:t>
      </w:r>
      <w:r w:rsidRPr="00C17C50">
        <w:rPr>
          <w:rFonts w:asciiTheme="minorHAnsi" w:hAnsiTheme="minorHAnsi" w:cstheme="minorHAnsi"/>
          <w:sz w:val="22"/>
          <w:szCs w:val="22"/>
        </w:rPr>
        <w:t>that the time to assess patients</w:t>
      </w:r>
      <w:r w:rsidR="00530D79" w:rsidRPr="00C17C50">
        <w:rPr>
          <w:rFonts w:asciiTheme="minorHAnsi" w:hAnsiTheme="minorHAnsi" w:cstheme="minorHAnsi"/>
          <w:sz w:val="22"/>
          <w:szCs w:val="22"/>
        </w:rPr>
        <w:t>, as reported by contractors, did not reflect</w:t>
      </w:r>
      <w:r w:rsidRPr="00C17C50">
        <w:rPr>
          <w:rFonts w:asciiTheme="minorHAnsi" w:hAnsiTheme="minorHAnsi" w:cstheme="minorHAnsi"/>
          <w:sz w:val="22"/>
          <w:szCs w:val="22"/>
        </w:rPr>
        <w:t xml:space="preserve"> their experience. Due to the previously discussed limitations in beta test patient sampling, the time and costs associated with administration for the full SNF population is grossly understated. Simply put, it is less time-consuming and costly to administer these items to a cognitively intact, English-speaking patient with no speech or language deficit than to one with aphasia, attention and memory disorders, or whose primary language is not English. That shortfall, combined with the addition of several new indicators, renders CMS’ estimate of the impact on providers’ time and resources woefully inadequate.  </w:t>
      </w:r>
    </w:p>
    <w:p w14:paraId="2AAA8E8A" w14:textId="77777777" w:rsidR="00FB4EAA" w:rsidRPr="00C17C50" w:rsidRDefault="00FB4EAA" w:rsidP="002660EE">
      <w:pPr>
        <w:pStyle w:val="Default"/>
        <w:rPr>
          <w:rFonts w:asciiTheme="minorHAnsi" w:hAnsiTheme="minorHAnsi" w:cstheme="minorHAnsi"/>
          <w:i/>
          <w:iCs/>
          <w:sz w:val="22"/>
          <w:szCs w:val="22"/>
        </w:rPr>
      </w:pPr>
    </w:p>
    <w:p w14:paraId="6FC781E6" w14:textId="77777777" w:rsidR="00511CEB" w:rsidRDefault="00511CEB" w:rsidP="00FB4EAA">
      <w:pPr>
        <w:pStyle w:val="Default"/>
        <w:rPr>
          <w:rFonts w:asciiTheme="minorHAnsi" w:hAnsiTheme="minorHAnsi" w:cstheme="minorHAnsi"/>
          <w:i/>
          <w:iCs/>
          <w:sz w:val="22"/>
          <w:szCs w:val="22"/>
        </w:rPr>
      </w:pPr>
    </w:p>
    <w:p w14:paraId="6C2B1BA6" w14:textId="64C18992" w:rsidR="00FB4EAA" w:rsidRPr="00C17C50" w:rsidRDefault="00FB4EAA" w:rsidP="00FB4EAA">
      <w:pPr>
        <w:pStyle w:val="Default"/>
        <w:rPr>
          <w:rFonts w:asciiTheme="minorHAnsi" w:hAnsiTheme="minorHAnsi" w:cstheme="minorHAnsi"/>
          <w:i/>
          <w:iCs/>
          <w:sz w:val="22"/>
          <w:szCs w:val="22"/>
        </w:rPr>
      </w:pPr>
      <w:bookmarkStart w:id="0" w:name="_GoBack"/>
      <w:bookmarkEnd w:id="0"/>
      <w:r w:rsidRPr="00C17C50">
        <w:rPr>
          <w:rFonts w:asciiTheme="minorHAnsi" w:hAnsiTheme="minorHAnsi" w:cstheme="minorHAnsi"/>
          <w:i/>
          <w:iCs/>
          <w:sz w:val="22"/>
          <w:szCs w:val="22"/>
        </w:rPr>
        <w:lastRenderedPageBreak/>
        <w:t xml:space="preserve">Recommendations    </w:t>
      </w:r>
    </w:p>
    <w:p w14:paraId="4CD08F23" w14:textId="4B6AD969" w:rsidR="00FB4EAA" w:rsidRPr="00C17C50" w:rsidRDefault="00FB4EAA" w:rsidP="00FB4EAA">
      <w:pPr>
        <w:pStyle w:val="Default"/>
        <w:rPr>
          <w:rFonts w:asciiTheme="minorHAnsi" w:hAnsiTheme="minorHAnsi" w:cstheme="minorHAnsi"/>
          <w:sz w:val="22"/>
          <w:szCs w:val="22"/>
        </w:rPr>
      </w:pPr>
      <w:r w:rsidRPr="00C17C50">
        <w:rPr>
          <w:rFonts w:asciiTheme="minorHAnsi" w:hAnsiTheme="minorHAnsi" w:cstheme="minorHAnsi"/>
          <w:bCs/>
          <w:sz w:val="22"/>
          <w:szCs w:val="22"/>
        </w:rPr>
        <w:t>CHA and its member hospitals, wh</w:t>
      </w:r>
      <w:r w:rsidR="006F40F5">
        <w:rPr>
          <w:rFonts w:asciiTheme="minorHAnsi" w:hAnsiTheme="minorHAnsi" w:cstheme="minorHAnsi"/>
          <w:bCs/>
          <w:sz w:val="22"/>
          <w:szCs w:val="22"/>
        </w:rPr>
        <w:t>ich</w:t>
      </w:r>
      <w:r w:rsidRPr="00C17C50">
        <w:rPr>
          <w:rFonts w:asciiTheme="minorHAnsi" w:hAnsiTheme="minorHAnsi" w:cstheme="minorHAnsi"/>
          <w:bCs/>
          <w:sz w:val="22"/>
          <w:szCs w:val="22"/>
        </w:rPr>
        <w:t xml:space="preserve"> represent the full range of acute and post-acute care service providers, recognize the importance and value of post-acute care payment reform — including</w:t>
      </w:r>
      <w:r w:rsidR="00C455AD" w:rsidRPr="00C17C50">
        <w:rPr>
          <w:rFonts w:asciiTheme="minorHAnsi" w:hAnsiTheme="minorHAnsi" w:cstheme="minorHAnsi"/>
          <w:bCs/>
          <w:sz w:val="22"/>
          <w:szCs w:val="22"/>
        </w:rPr>
        <w:t xml:space="preserve"> the adoption of</w:t>
      </w:r>
      <w:r w:rsidRPr="00C17C50">
        <w:rPr>
          <w:rFonts w:asciiTheme="minorHAnsi" w:hAnsiTheme="minorHAnsi" w:cstheme="minorHAnsi"/>
          <w:bCs/>
          <w:sz w:val="22"/>
          <w:szCs w:val="22"/>
        </w:rPr>
        <w:t xml:space="preserve"> SPADEs</w:t>
      </w:r>
      <w:r w:rsidR="00C455AD" w:rsidRPr="00C17C50">
        <w:rPr>
          <w:rFonts w:asciiTheme="minorHAnsi" w:hAnsiTheme="minorHAnsi" w:cstheme="minorHAnsi"/>
          <w:bCs/>
          <w:sz w:val="22"/>
          <w:szCs w:val="22"/>
        </w:rPr>
        <w:t xml:space="preserve"> as one of the precursors to achieving this goal</w:t>
      </w:r>
      <w:r w:rsidRPr="00C17C50">
        <w:rPr>
          <w:rFonts w:asciiTheme="minorHAnsi" w:hAnsiTheme="minorHAnsi" w:cstheme="minorHAnsi"/>
          <w:bCs/>
          <w:sz w:val="22"/>
          <w:szCs w:val="22"/>
        </w:rPr>
        <w:t xml:space="preserve">. Furthermore, CHA supports CMS’ work to more closely align the </w:t>
      </w:r>
      <w:r w:rsidR="009C3C57" w:rsidRPr="00C17C50">
        <w:rPr>
          <w:rFonts w:asciiTheme="minorHAnsi" w:hAnsiTheme="minorHAnsi" w:cstheme="minorHAnsi"/>
          <w:bCs/>
          <w:sz w:val="22"/>
          <w:szCs w:val="22"/>
        </w:rPr>
        <w:t xml:space="preserve">post-acute care </w:t>
      </w:r>
      <w:r w:rsidRPr="00C17C50">
        <w:rPr>
          <w:rFonts w:asciiTheme="minorHAnsi" w:hAnsiTheme="minorHAnsi" w:cstheme="minorHAnsi"/>
          <w:bCs/>
          <w:sz w:val="22"/>
          <w:szCs w:val="22"/>
        </w:rPr>
        <w:t xml:space="preserve">payment system with patient characteristics and resource needs. On behalf of our member organizations, CHA has been actively engaged in supporting implementation of the IMPACT Act and </w:t>
      </w:r>
      <w:r w:rsidRPr="00C17C50">
        <w:rPr>
          <w:rFonts w:asciiTheme="minorHAnsi" w:hAnsiTheme="minorHAnsi" w:cstheme="minorHAnsi"/>
          <w:sz w:val="22"/>
          <w:szCs w:val="22"/>
        </w:rPr>
        <w:t xml:space="preserve">stands ready to work with CMS as the transformation of </w:t>
      </w:r>
      <w:r w:rsidR="00466BDE" w:rsidRPr="00C17C50">
        <w:rPr>
          <w:rFonts w:asciiTheme="minorHAnsi" w:hAnsiTheme="minorHAnsi" w:cstheme="minorHAnsi"/>
          <w:sz w:val="22"/>
          <w:szCs w:val="22"/>
        </w:rPr>
        <w:t xml:space="preserve">post-acute care </w:t>
      </w:r>
      <w:r w:rsidRPr="00C17C50">
        <w:rPr>
          <w:rFonts w:asciiTheme="minorHAnsi" w:hAnsiTheme="minorHAnsi" w:cstheme="minorHAnsi"/>
          <w:sz w:val="22"/>
          <w:szCs w:val="22"/>
        </w:rPr>
        <w:t xml:space="preserve">services payment and delivery proceeds. We urge the agency to consider the following recommendations. </w:t>
      </w:r>
    </w:p>
    <w:p w14:paraId="781017D7" w14:textId="77777777" w:rsidR="00FB4EAA" w:rsidRPr="00C17C50" w:rsidRDefault="00FB4EAA" w:rsidP="00FB4EAA">
      <w:pPr>
        <w:pStyle w:val="Default"/>
        <w:rPr>
          <w:rFonts w:asciiTheme="minorHAnsi" w:hAnsiTheme="minorHAnsi" w:cstheme="minorHAnsi"/>
          <w:sz w:val="22"/>
          <w:szCs w:val="22"/>
        </w:rPr>
      </w:pPr>
    </w:p>
    <w:p w14:paraId="1C6F830D" w14:textId="2588E3E3" w:rsidR="00FB4EAA" w:rsidRPr="00C17C50" w:rsidRDefault="00FB4EAA" w:rsidP="00FB4EAA">
      <w:pPr>
        <w:pStyle w:val="Default"/>
        <w:numPr>
          <w:ilvl w:val="0"/>
          <w:numId w:val="9"/>
        </w:numPr>
        <w:rPr>
          <w:rFonts w:asciiTheme="minorHAnsi" w:hAnsiTheme="minorHAnsi" w:cstheme="minorHAnsi"/>
          <w:sz w:val="22"/>
          <w:szCs w:val="22"/>
        </w:rPr>
      </w:pPr>
      <w:r w:rsidRPr="00C17C50">
        <w:rPr>
          <w:rFonts w:asciiTheme="minorHAnsi" w:hAnsiTheme="minorHAnsi" w:cstheme="minorHAnsi"/>
          <w:b/>
          <w:sz w:val="22"/>
          <w:szCs w:val="22"/>
        </w:rPr>
        <w:t>Reduce the speed and scope of SPADE implementation.</w:t>
      </w:r>
      <w:r w:rsidRPr="00C17C50">
        <w:rPr>
          <w:rFonts w:asciiTheme="minorHAnsi" w:hAnsiTheme="minorHAnsi" w:cstheme="minorHAnsi"/>
          <w:sz w:val="22"/>
          <w:szCs w:val="22"/>
        </w:rPr>
        <w:t xml:space="preserve"> Over the past few years, data collection requirements for </w:t>
      </w:r>
      <w:r w:rsidR="00466BDE" w:rsidRPr="00C17C50">
        <w:rPr>
          <w:rFonts w:asciiTheme="minorHAnsi" w:hAnsiTheme="minorHAnsi" w:cstheme="minorHAnsi"/>
          <w:sz w:val="22"/>
          <w:szCs w:val="22"/>
        </w:rPr>
        <w:t xml:space="preserve">LTCHs </w:t>
      </w:r>
      <w:r w:rsidRPr="00C17C50">
        <w:rPr>
          <w:rFonts w:asciiTheme="minorHAnsi" w:hAnsiTheme="minorHAnsi" w:cstheme="minorHAnsi"/>
          <w:sz w:val="22"/>
          <w:szCs w:val="22"/>
        </w:rPr>
        <w:t xml:space="preserve">have increased significantly and members have experienced challenges in developing new procedures for coding, workflow, and documentation. The continuous and rapid pace of additions and changes limit </w:t>
      </w:r>
      <w:r w:rsidR="00726DFC" w:rsidRPr="00C17C50">
        <w:rPr>
          <w:rFonts w:asciiTheme="minorHAnsi" w:hAnsiTheme="minorHAnsi" w:cstheme="minorHAnsi"/>
          <w:sz w:val="22"/>
          <w:szCs w:val="22"/>
        </w:rPr>
        <w:t>LTCHs</w:t>
      </w:r>
      <w:r w:rsidRPr="00C17C50">
        <w:rPr>
          <w:rFonts w:asciiTheme="minorHAnsi" w:hAnsiTheme="minorHAnsi" w:cstheme="minorHAnsi"/>
          <w:sz w:val="22"/>
          <w:szCs w:val="22"/>
        </w:rPr>
        <w:t xml:space="preserve">’ ability to make comprehensive changes or to identify the most effective and efficient way to meet new requirements. Absent a more gradual, considered timeline for implementation, </w:t>
      </w:r>
      <w:r w:rsidR="00C455AD" w:rsidRPr="00C17C50">
        <w:rPr>
          <w:rFonts w:asciiTheme="minorHAnsi" w:hAnsiTheme="minorHAnsi" w:cstheme="minorHAnsi"/>
          <w:sz w:val="22"/>
          <w:szCs w:val="22"/>
        </w:rPr>
        <w:t xml:space="preserve">LTCHs </w:t>
      </w:r>
      <w:r w:rsidRPr="00C17C50">
        <w:rPr>
          <w:rFonts w:asciiTheme="minorHAnsi" w:hAnsiTheme="minorHAnsi" w:cstheme="minorHAnsi"/>
          <w:sz w:val="22"/>
          <w:szCs w:val="22"/>
        </w:rPr>
        <w:t xml:space="preserve">are forced to continuously add new elements and processes to </w:t>
      </w:r>
      <w:r w:rsidR="00A47A6F">
        <w:rPr>
          <w:rFonts w:asciiTheme="minorHAnsi" w:hAnsiTheme="minorHAnsi" w:cstheme="minorHAnsi"/>
          <w:sz w:val="22"/>
          <w:szCs w:val="22"/>
        </w:rPr>
        <w:t>those</w:t>
      </w:r>
      <w:r w:rsidR="00A47A6F" w:rsidRPr="00C17C50">
        <w:rPr>
          <w:rFonts w:asciiTheme="minorHAnsi" w:hAnsiTheme="minorHAnsi" w:cstheme="minorHAnsi"/>
          <w:sz w:val="22"/>
          <w:szCs w:val="22"/>
        </w:rPr>
        <w:t xml:space="preserve"> </w:t>
      </w:r>
      <w:r w:rsidRPr="00C17C50">
        <w:rPr>
          <w:rFonts w:asciiTheme="minorHAnsi" w:hAnsiTheme="minorHAnsi" w:cstheme="minorHAnsi"/>
          <w:sz w:val="22"/>
          <w:szCs w:val="22"/>
        </w:rPr>
        <w:t xml:space="preserve">that already exist, without time to assess and test a re-designed workflow process that could more efficiently and effectively meet the goals of an accurate assessment and inter-setting communication.  </w:t>
      </w:r>
    </w:p>
    <w:p w14:paraId="7D034B95" w14:textId="77777777" w:rsidR="00FB4EAA" w:rsidRPr="00C17C50" w:rsidRDefault="00FB4EAA" w:rsidP="00FB4EAA">
      <w:pPr>
        <w:pStyle w:val="Default"/>
        <w:rPr>
          <w:rFonts w:asciiTheme="minorHAnsi" w:hAnsiTheme="minorHAnsi" w:cstheme="minorHAnsi"/>
          <w:sz w:val="22"/>
          <w:szCs w:val="22"/>
        </w:rPr>
      </w:pPr>
    </w:p>
    <w:p w14:paraId="0277865F" w14:textId="01C22169" w:rsidR="00FB4EAA" w:rsidRPr="00C17C50" w:rsidRDefault="00FB4EAA" w:rsidP="00FB4EAA">
      <w:pPr>
        <w:pStyle w:val="Default"/>
        <w:ind w:left="720"/>
        <w:rPr>
          <w:rFonts w:asciiTheme="minorHAnsi" w:hAnsiTheme="minorHAnsi" w:cstheme="minorHAnsi"/>
          <w:sz w:val="22"/>
          <w:szCs w:val="22"/>
        </w:rPr>
      </w:pPr>
      <w:r w:rsidRPr="00C17C50">
        <w:rPr>
          <w:rFonts w:asciiTheme="minorHAnsi" w:hAnsiTheme="minorHAnsi" w:cstheme="minorHAnsi"/>
          <w:sz w:val="22"/>
          <w:szCs w:val="22"/>
        </w:rPr>
        <w:t xml:space="preserve">This rapid change also affects the ability of </w:t>
      </w:r>
      <w:r w:rsidR="00C455AD" w:rsidRPr="00C17C50">
        <w:rPr>
          <w:rFonts w:asciiTheme="minorHAnsi" w:hAnsiTheme="minorHAnsi" w:cstheme="minorHAnsi"/>
          <w:sz w:val="22"/>
          <w:szCs w:val="22"/>
        </w:rPr>
        <w:t xml:space="preserve">LTCHs </w:t>
      </w:r>
      <w:r w:rsidRPr="00C17C50">
        <w:rPr>
          <w:rFonts w:asciiTheme="minorHAnsi" w:hAnsiTheme="minorHAnsi" w:cstheme="minorHAnsi"/>
          <w:sz w:val="22"/>
          <w:szCs w:val="22"/>
        </w:rPr>
        <w:t xml:space="preserve">and their partners to integrate with the electronic medical record. While our hospital members report that they actively collaborate with software vendors and information systems professionals, they note that this iterative process may lag behind the facility’s need for actual implementation, so that providers are forced to develop inefficient and duplicative procedures. A more gradual, phased-in approach would enable electronic medical record providers, software vendors, and facilities the ability to develop and test data collection procedures that will stand the test of time and not cause unnecessary expense.  </w:t>
      </w:r>
    </w:p>
    <w:p w14:paraId="3E6AAC13" w14:textId="77777777" w:rsidR="00FB4EAA" w:rsidRPr="00C17C50" w:rsidRDefault="00FB4EAA" w:rsidP="00FB4EAA">
      <w:pPr>
        <w:pStyle w:val="Default"/>
        <w:ind w:left="720"/>
        <w:rPr>
          <w:rFonts w:asciiTheme="minorHAnsi" w:hAnsiTheme="minorHAnsi" w:cstheme="minorHAnsi"/>
          <w:sz w:val="22"/>
          <w:szCs w:val="22"/>
        </w:rPr>
      </w:pPr>
    </w:p>
    <w:p w14:paraId="1D582C46" w14:textId="77777777" w:rsidR="00FB4EAA" w:rsidRPr="00C17C50" w:rsidRDefault="00FB4EAA" w:rsidP="00FB4EAA">
      <w:pPr>
        <w:pStyle w:val="BodyText"/>
        <w:numPr>
          <w:ilvl w:val="0"/>
          <w:numId w:val="9"/>
        </w:numPr>
        <w:tabs>
          <w:tab w:val="left" w:pos="9180"/>
        </w:tabs>
        <w:kinsoku w:val="0"/>
        <w:overflowPunct w:val="0"/>
        <w:spacing w:line="240" w:lineRule="auto"/>
        <w:rPr>
          <w:rFonts w:asciiTheme="minorHAnsi" w:hAnsiTheme="minorHAnsi" w:cstheme="minorHAnsi"/>
          <w:bCs/>
        </w:rPr>
      </w:pPr>
      <w:r w:rsidRPr="00C17C50">
        <w:rPr>
          <w:rFonts w:asciiTheme="minorHAnsi" w:hAnsiTheme="minorHAnsi" w:cstheme="minorHAnsi"/>
          <w:b/>
          <w:bCs/>
        </w:rPr>
        <w:t xml:space="preserve">Create and make transparent a data use strategy and analysis plan for the SPADE items so post-acute care providers, including </w:t>
      </w:r>
      <w:r w:rsidR="00726DFC" w:rsidRPr="00C17C50">
        <w:rPr>
          <w:rFonts w:asciiTheme="minorHAnsi" w:hAnsiTheme="minorHAnsi" w:cstheme="minorHAnsi"/>
          <w:b/>
          <w:bCs/>
        </w:rPr>
        <w:t>LTCHs</w:t>
      </w:r>
      <w:r w:rsidRPr="00C17C50">
        <w:rPr>
          <w:rFonts w:asciiTheme="minorHAnsi" w:hAnsiTheme="minorHAnsi" w:cstheme="minorHAnsi"/>
          <w:b/>
          <w:bCs/>
        </w:rPr>
        <w:t xml:space="preserve">, better understand how the agency will further assess </w:t>
      </w:r>
      <w:proofErr w:type="spellStart"/>
      <w:r w:rsidRPr="00C17C50">
        <w:rPr>
          <w:rFonts w:asciiTheme="minorHAnsi" w:hAnsiTheme="minorHAnsi" w:cstheme="minorHAnsi"/>
          <w:b/>
          <w:bCs/>
        </w:rPr>
        <w:t>SPADEs’</w:t>
      </w:r>
      <w:proofErr w:type="spellEnd"/>
      <w:r w:rsidRPr="00C17C50">
        <w:rPr>
          <w:rFonts w:asciiTheme="minorHAnsi" w:hAnsiTheme="minorHAnsi" w:cstheme="minorHAnsi"/>
          <w:b/>
          <w:bCs/>
        </w:rPr>
        <w:t xml:space="preserve"> adequacy and usability in the development of a unified PPS and future quality measures.</w:t>
      </w:r>
      <w:r w:rsidRPr="00C17C50">
        <w:rPr>
          <w:rFonts w:asciiTheme="minorHAnsi" w:hAnsiTheme="minorHAnsi" w:cstheme="minorHAnsi"/>
          <w:bCs/>
        </w:rPr>
        <w:t xml:space="preserve"> Data collection without an understanding of future use or subsequent analysis of performance based on the intended use is costly to our health care system. Interim alternatives should be strongly considered.  </w:t>
      </w:r>
    </w:p>
    <w:p w14:paraId="5AA73BF7" w14:textId="77777777" w:rsidR="00FB4EAA" w:rsidRPr="00C17C50" w:rsidRDefault="00FB4EAA" w:rsidP="00FB4EAA">
      <w:pPr>
        <w:pStyle w:val="BodyText"/>
        <w:tabs>
          <w:tab w:val="left" w:pos="9180"/>
        </w:tabs>
        <w:kinsoku w:val="0"/>
        <w:overflowPunct w:val="0"/>
        <w:spacing w:line="240" w:lineRule="auto"/>
        <w:rPr>
          <w:rFonts w:asciiTheme="minorHAnsi" w:hAnsiTheme="minorHAnsi" w:cstheme="minorHAnsi"/>
          <w:bCs/>
        </w:rPr>
      </w:pPr>
    </w:p>
    <w:p w14:paraId="5CB457F5" w14:textId="77777777" w:rsidR="00FB4EAA" w:rsidRPr="00C17C50" w:rsidRDefault="00FB4EAA" w:rsidP="00FB4EAA">
      <w:pPr>
        <w:pStyle w:val="BodyText"/>
        <w:tabs>
          <w:tab w:val="left" w:pos="9180"/>
        </w:tabs>
        <w:kinsoku w:val="0"/>
        <w:overflowPunct w:val="0"/>
        <w:spacing w:line="240" w:lineRule="auto"/>
        <w:ind w:left="720" w:firstLine="0"/>
        <w:rPr>
          <w:rFonts w:asciiTheme="minorHAnsi" w:hAnsiTheme="minorHAnsi" w:cstheme="minorHAnsi"/>
          <w:bCs/>
        </w:rPr>
      </w:pPr>
      <w:r w:rsidRPr="00C17C50">
        <w:rPr>
          <w:rFonts w:asciiTheme="minorHAnsi" w:hAnsiTheme="minorHAnsi" w:cstheme="minorHAnsi"/>
          <w:bCs/>
        </w:rPr>
        <w:t xml:space="preserve">While the beta test was important, more work must be done to ensure that the SPADEs requested on the patient assessment tools can be put to good use in the development of our goals. We urge CMS to engage with stakeholders in detailing how it intends to use these data. </w:t>
      </w:r>
    </w:p>
    <w:p w14:paraId="0D9F3B0F" w14:textId="77777777" w:rsidR="00FB4EAA" w:rsidRPr="00C17C50" w:rsidRDefault="00FB4EAA" w:rsidP="00FB4EAA">
      <w:pPr>
        <w:pStyle w:val="BodyText"/>
        <w:tabs>
          <w:tab w:val="left" w:pos="9180"/>
        </w:tabs>
        <w:kinsoku w:val="0"/>
        <w:overflowPunct w:val="0"/>
        <w:spacing w:line="240" w:lineRule="auto"/>
        <w:ind w:left="720" w:firstLine="0"/>
        <w:rPr>
          <w:rFonts w:asciiTheme="minorHAnsi" w:hAnsiTheme="minorHAnsi" w:cstheme="minorHAnsi"/>
          <w:bCs/>
        </w:rPr>
      </w:pPr>
    </w:p>
    <w:p w14:paraId="30A954E4" w14:textId="77777777" w:rsidR="00FB4EAA" w:rsidRPr="00C17C50" w:rsidRDefault="00FB4EAA" w:rsidP="00FB4EAA">
      <w:pPr>
        <w:pStyle w:val="BodyText"/>
        <w:numPr>
          <w:ilvl w:val="0"/>
          <w:numId w:val="9"/>
        </w:numPr>
        <w:tabs>
          <w:tab w:val="left" w:pos="9180"/>
        </w:tabs>
        <w:kinsoku w:val="0"/>
        <w:overflowPunct w:val="0"/>
        <w:spacing w:line="240" w:lineRule="auto"/>
        <w:rPr>
          <w:rFonts w:asciiTheme="minorHAnsi" w:hAnsiTheme="minorHAnsi" w:cstheme="minorHAnsi"/>
          <w:bCs/>
        </w:rPr>
      </w:pPr>
      <w:r w:rsidRPr="00C17C50">
        <w:rPr>
          <w:rFonts w:asciiTheme="minorHAnsi" w:hAnsiTheme="minorHAnsi" w:cstheme="minorHAnsi"/>
          <w:b/>
          <w:bCs/>
        </w:rPr>
        <w:t xml:space="preserve">Develop a framework in the </w:t>
      </w:r>
      <w:r w:rsidR="00726DFC" w:rsidRPr="00C17C50">
        <w:rPr>
          <w:rFonts w:asciiTheme="minorHAnsi" w:hAnsiTheme="minorHAnsi" w:cstheme="minorHAnsi"/>
          <w:b/>
          <w:bCs/>
        </w:rPr>
        <w:t xml:space="preserve">LCDS </w:t>
      </w:r>
      <w:r w:rsidRPr="00C17C50">
        <w:rPr>
          <w:rFonts w:asciiTheme="minorHAnsi" w:hAnsiTheme="minorHAnsi" w:cstheme="minorHAnsi"/>
          <w:b/>
          <w:bCs/>
        </w:rPr>
        <w:t>for prioritizing implementation of the critical SPADEs. The agency should strongly consider a period of voluntary reporting for a number of SPADEs to better understand their value in future data use strategies</w:t>
      </w:r>
      <w:r w:rsidRPr="00C17C50">
        <w:rPr>
          <w:rFonts w:asciiTheme="minorHAnsi" w:hAnsiTheme="minorHAnsi" w:cstheme="minorHAnsi"/>
          <w:bCs/>
        </w:rPr>
        <w:t>.</w:t>
      </w:r>
    </w:p>
    <w:p w14:paraId="6B2A6945" w14:textId="77777777" w:rsidR="00FB4EAA" w:rsidRPr="00C17C50" w:rsidRDefault="00FB4EAA" w:rsidP="00FB4EAA">
      <w:pPr>
        <w:pStyle w:val="BodyText"/>
        <w:tabs>
          <w:tab w:val="left" w:pos="9180"/>
        </w:tabs>
        <w:kinsoku w:val="0"/>
        <w:overflowPunct w:val="0"/>
        <w:spacing w:line="240" w:lineRule="auto"/>
        <w:ind w:left="720" w:firstLine="0"/>
        <w:rPr>
          <w:rFonts w:asciiTheme="minorHAnsi" w:hAnsiTheme="minorHAnsi" w:cstheme="minorHAnsi"/>
          <w:bCs/>
        </w:rPr>
      </w:pPr>
    </w:p>
    <w:p w14:paraId="55156FFB" w14:textId="01E18F37" w:rsidR="00FB4EAA" w:rsidRPr="00C17C50" w:rsidRDefault="00FB4EAA" w:rsidP="00FB4EAA">
      <w:pPr>
        <w:pStyle w:val="BodyText"/>
        <w:tabs>
          <w:tab w:val="left" w:pos="9180"/>
        </w:tabs>
        <w:kinsoku w:val="0"/>
        <w:overflowPunct w:val="0"/>
        <w:spacing w:line="240" w:lineRule="auto"/>
        <w:ind w:left="720" w:firstLine="0"/>
        <w:rPr>
          <w:rFonts w:asciiTheme="minorHAnsi" w:hAnsiTheme="minorHAnsi" w:cstheme="minorHAnsi"/>
          <w:bCs/>
        </w:rPr>
      </w:pPr>
      <w:r w:rsidRPr="00C17C50">
        <w:rPr>
          <w:rFonts w:asciiTheme="minorHAnsi" w:hAnsiTheme="minorHAnsi" w:cstheme="minorHAnsi"/>
          <w:bCs/>
        </w:rPr>
        <w:t xml:space="preserve">A number of SPADE data elements could, as an interim strategy, be collected through claims analysis by the agency. We remain concerned that CMS has not considered any interim </w:t>
      </w:r>
      <w:r w:rsidRPr="00C17C50">
        <w:rPr>
          <w:rFonts w:asciiTheme="minorHAnsi" w:hAnsiTheme="minorHAnsi" w:cstheme="minorHAnsi"/>
          <w:bCs/>
        </w:rPr>
        <w:lastRenderedPageBreak/>
        <w:t xml:space="preserve">strategies to obtain data that </w:t>
      </w:r>
      <w:r w:rsidR="00A47A6F">
        <w:rPr>
          <w:rFonts w:asciiTheme="minorHAnsi" w:hAnsiTheme="minorHAnsi" w:cstheme="minorHAnsi"/>
          <w:bCs/>
        </w:rPr>
        <w:t xml:space="preserve">are </w:t>
      </w:r>
      <w:r w:rsidRPr="00C17C50">
        <w:rPr>
          <w:rFonts w:asciiTheme="minorHAnsi" w:hAnsiTheme="minorHAnsi" w:cstheme="minorHAnsi"/>
          <w:bCs/>
        </w:rPr>
        <w:t xml:space="preserve">captured and coded to the Medicare claim. With such intense focus on the SPADEs themselves, the idea of collecting similar information in an alternative format to inform the work prior to adding additional items on the </w:t>
      </w:r>
      <w:r w:rsidR="00726DFC" w:rsidRPr="00C17C50">
        <w:rPr>
          <w:rFonts w:asciiTheme="minorHAnsi" w:hAnsiTheme="minorHAnsi" w:cstheme="minorHAnsi"/>
          <w:bCs/>
        </w:rPr>
        <w:t>LCDS</w:t>
      </w:r>
      <w:r w:rsidRPr="00C17C50">
        <w:rPr>
          <w:rFonts w:asciiTheme="minorHAnsi" w:hAnsiTheme="minorHAnsi" w:cstheme="minorHAnsi"/>
          <w:bCs/>
        </w:rPr>
        <w:t xml:space="preserve"> has been lost. Before proceeding with full implementation, the agency should explain why certain data elements can </w:t>
      </w:r>
      <w:r w:rsidRPr="00C17C50">
        <w:rPr>
          <w:rFonts w:asciiTheme="minorHAnsi" w:hAnsiTheme="minorHAnsi" w:cstheme="minorHAnsi"/>
          <w:b/>
          <w:bCs/>
        </w:rPr>
        <w:t>only</w:t>
      </w:r>
      <w:r w:rsidRPr="00C17C50">
        <w:rPr>
          <w:rFonts w:asciiTheme="minorHAnsi" w:hAnsiTheme="minorHAnsi" w:cstheme="minorHAnsi"/>
          <w:bCs/>
        </w:rPr>
        <w:t xml:space="preserve"> be obtained through the </w:t>
      </w:r>
      <w:r w:rsidR="00726DFC" w:rsidRPr="00C17C50">
        <w:rPr>
          <w:rFonts w:asciiTheme="minorHAnsi" w:hAnsiTheme="minorHAnsi" w:cstheme="minorHAnsi"/>
          <w:bCs/>
        </w:rPr>
        <w:t>LCDS</w:t>
      </w:r>
      <w:r w:rsidRPr="00C17C50">
        <w:rPr>
          <w:rFonts w:asciiTheme="minorHAnsi" w:hAnsiTheme="minorHAnsi" w:cstheme="minorHAnsi"/>
          <w:bCs/>
        </w:rPr>
        <w:t xml:space="preserve"> and other patient assessment tools, rather than through other means. This would help the agency prioritize and phase in implementation as appropriate. </w:t>
      </w:r>
    </w:p>
    <w:p w14:paraId="3275CA06" w14:textId="77777777" w:rsidR="00FB4EAA" w:rsidRPr="00C17C50" w:rsidRDefault="00FB4EAA" w:rsidP="00FB4EAA">
      <w:pPr>
        <w:pStyle w:val="BodyText"/>
        <w:tabs>
          <w:tab w:val="left" w:pos="9180"/>
        </w:tabs>
        <w:kinsoku w:val="0"/>
        <w:overflowPunct w:val="0"/>
        <w:spacing w:line="240" w:lineRule="auto"/>
        <w:ind w:left="360" w:firstLine="0"/>
        <w:rPr>
          <w:rFonts w:asciiTheme="minorHAnsi" w:hAnsiTheme="minorHAnsi" w:cstheme="minorHAnsi"/>
          <w:bCs/>
        </w:rPr>
      </w:pPr>
    </w:p>
    <w:p w14:paraId="6BD419D9" w14:textId="77777777" w:rsidR="00FB4EAA" w:rsidRPr="00C17C50" w:rsidRDefault="00FB4EAA" w:rsidP="00FB4EAA">
      <w:pPr>
        <w:pStyle w:val="Default"/>
        <w:ind w:left="720"/>
        <w:rPr>
          <w:rFonts w:asciiTheme="minorHAnsi" w:hAnsiTheme="minorHAnsi" w:cstheme="minorHAnsi"/>
          <w:sz w:val="22"/>
          <w:szCs w:val="22"/>
        </w:rPr>
      </w:pPr>
      <w:r w:rsidRPr="00C17C50">
        <w:rPr>
          <w:rFonts w:asciiTheme="minorHAnsi" w:hAnsiTheme="minorHAnsi" w:cstheme="minorHAnsi"/>
          <w:sz w:val="22"/>
          <w:szCs w:val="22"/>
        </w:rPr>
        <w:t xml:space="preserve">Allowing voluntary reporting would enable CMS to use participating facilities as valuable “laboratories” for implementation that would provide support and guidance for other </w:t>
      </w:r>
      <w:r w:rsidR="00726DFC" w:rsidRPr="00C17C50">
        <w:rPr>
          <w:rFonts w:asciiTheme="minorHAnsi" w:hAnsiTheme="minorHAnsi" w:cstheme="minorHAnsi"/>
          <w:sz w:val="22"/>
          <w:szCs w:val="22"/>
        </w:rPr>
        <w:t>LTCHs</w:t>
      </w:r>
      <w:r w:rsidRPr="00C17C50">
        <w:rPr>
          <w:rFonts w:asciiTheme="minorHAnsi" w:hAnsiTheme="minorHAnsi" w:cstheme="minorHAnsi"/>
          <w:sz w:val="22"/>
          <w:szCs w:val="22"/>
        </w:rPr>
        <w:t xml:space="preserve"> and inform CMS’ future work. It would also allow for the development of technological solutions that could support this process across all levels of care.  </w:t>
      </w:r>
    </w:p>
    <w:p w14:paraId="42F09996" w14:textId="77777777" w:rsidR="00FB4EAA" w:rsidRPr="00C17C50" w:rsidRDefault="00FB4EAA" w:rsidP="00FB4EAA">
      <w:pPr>
        <w:pStyle w:val="BodyText"/>
        <w:tabs>
          <w:tab w:val="left" w:pos="9180"/>
        </w:tabs>
        <w:kinsoku w:val="0"/>
        <w:overflowPunct w:val="0"/>
        <w:spacing w:line="240" w:lineRule="auto"/>
        <w:ind w:left="360" w:firstLine="0"/>
        <w:rPr>
          <w:rFonts w:asciiTheme="minorHAnsi" w:hAnsiTheme="minorHAnsi" w:cstheme="minorHAnsi"/>
          <w:bCs/>
        </w:rPr>
      </w:pPr>
    </w:p>
    <w:p w14:paraId="2340DDCB" w14:textId="77777777" w:rsidR="00FB4EAA" w:rsidRPr="00C17C50" w:rsidRDefault="00FB4EAA" w:rsidP="00FB4EAA">
      <w:pPr>
        <w:pStyle w:val="Default"/>
        <w:ind w:left="720"/>
        <w:rPr>
          <w:rFonts w:asciiTheme="minorHAnsi" w:hAnsiTheme="minorHAnsi" w:cstheme="minorHAnsi"/>
          <w:sz w:val="22"/>
          <w:szCs w:val="22"/>
        </w:rPr>
      </w:pPr>
      <w:r w:rsidRPr="00C17C50">
        <w:rPr>
          <w:rFonts w:asciiTheme="minorHAnsi" w:hAnsiTheme="minorHAnsi" w:cstheme="minorHAnsi"/>
          <w:sz w:val="22"/>
          <w:szCs w:val="22"/>
        </w:rPr>
        <w:t xml:space="preserve">For example, several of the proposed elements relate to ongoing treatments or stable conditions that will be documented elsewhere in the patient’s medical record and will not change based on care setting or medical stability. As previously mentioned, some of this data may be obtained through claims analysis. Should that prove to be helpful, imposing a second step of voluntary reporting would allow providers time to work with their electronic health record vendors to develop systems that can populate these elements in the </w:t>
      </w:r>
      <w:r w:rsidR="00726DFC" w:rsidRPr="00C17C50">
        <w:rPr>
          <w:rFonts w:asciiTheme="minorHAnsi" w:hAnsiTheme="minorHAnsi" w:cstheme="minorHAnsi"/>
          <w:sz w:val="22"/>
          <w:szCs w:val="22"/>
        </w:rPr>
        <w:t>LCDS</w:t>
      </w:r>
      <w:r w:rsidRPr="00C17C50">
        <w:rPr>
          <w:rFonts w:asciiTheme="minorHAnsi" w:hAnsiTheme="minorHAnsi" w:cstheme="minorHAnsi"/>
          <w:sz w:val="22"/>
          <w:szCs w:val="22"/>
        </w:rPr>
        <w:t xml:space="preserve"> without requiring additional assessment and documentation by the </w:t>
      </w:r>
      <w:r w:rsidR="00726DFC" w:rsidRPr="00C17C50">
        <w:rPr>
          <w:rFonts w:asciiTheme="minorHAnsi" w:hAnsiTheme="minorHAnsi" w:cstheme="minorHAnsi"/>
          <w:sz w:val="22"/>
          <w:szCs w:val="22"/>
        </w:rPr>
        <w:t>LTCH</w:t>
      </w:r>
      <w:r w:rsidR="000841A5" w:rsidRPr="00C17C50">
        <w:rPr>
          <w:rFonts w:asciiTheme="minorHAnsi" w:hAnsiTheme="minorHAnsi" w:cstheme="minorHAnsi"/>
          <w:sz w:val="22"/>
          <w:szCs w:val="22"/>
        </w:rPr>
        <w:t xml:space="preserve">. </w:t>
      </w:r>
      <w:r w:rsidRPr="00C17C50">
        <w:rPr>
          <w:rFonts w:asciiTheme="minorHAnsi" w:hAnsiTheme="minorHAnsi" w:cstheme="minorHAnsi"/>
          <w:sz w:val="22"/>
          <w:szCs w:val="22"/>
        </w:rPr>
        <w:t xml:space="preserve">Several proposed elements would lend themselves to this approach, including many of the elements in the domain of special treatments and procedures (e.g., dialysis), impairments (e.g., hearing loss), and social determinants of health (e.g., ethnicity).  </w:t>
      </w:r>
    </w:p>
    <w:p w14:paraId="0A898778" w14:textId="77777777" w:rsidR="00FB4EAA" w:rsidRPr="00C17C50" w:rsidRDefault="00FB4EAA" w:rsidP="00FB4EAA">
      <w:pPr>
        <w:pStyle w:val="BodyText"/>
        <w:tabs>
          <w:tab w:val="left" w:pos="9180"/>
        </w:tabs>
        <w:kinsoku w:val="0"/>
        <w:overflowPunct w:val="0"/>
        <w:spacing w:line="240" w:lineRule="auto"/>
        <w:ind w:left="360" w:firstLine="0"/>
        <w:rPr>
          <w:rFonts w:asciiTheme="minorHAnsi" w:hAnsiTheme="minorHAnsi" w:cstheme="minorHAnsi"/>
          <w:bCs/>
        </w:rPr>
      </w:pPr>
    </w:p>
    <w:p w14:paraId="591ECE73" w14:textId="02A87C2A" w:rsidR="00FB4EAA" w:rsidRPr="00C17C50" w:rsidRDefault="00FB4EAA" w:rsidP="00FB4EAA">
      <w:pPr>
        <w:pStyle w:val="Default"/>
        <w:ind w:left="720"/>
        <w:rPr>
          <w:rFonts w:asciiTheme="minorHAnsi" w:hAnsiTheme="minorHAnsi" w:cstheme="minorHAnsi"/>
          <w:sz w:val="22"/>
          <w:szCs w:val="22"/>
        </w:rPr>
      </w:pPr>
      <w:r w:rsidRPr="00C17C50">
        <w:rPr>
          <w:rFonts w:asciiTheme="minorHAnsi" w:hAnsiTheme="minorHAnsi" w:cstheme="minorHAnsi"/>
          <w:sz w:val="22"/>
          <w:szCs w:val="22"/>
        </w:rPr>
        <w:t xml:space="preserve">As previously noted, a large portion of individuals who are admitted to an </w:t>
      </w:r>
      <w:r w:rsidR="00726DFC" w:rsidRPr="00C17C50">
        <w:rPr>
          <w:rFonts w:asciiTheme="minorHAnsi" w:hAnsiTheme="minorHAnsi" w:cstheme="minorHAnsi"/>
          <w:sz w:val="22"/>
          <w:szCs w:val="22"/>
        </w:rPr>
        <w:t>LTCH</w:t>
      </w:r>
      <w:r w:rsidR="000841A5" w:rsidRPr="00C17C50">
        <w:rPr>
          <w:rFonts w:asciiTheme="minorHAnsi" w:hAnsiTheme="minorHAnsi" w:cstheme="minorHAnsi"/>
          <w:sz w:val="22"/>
          <w:szCs w:val="22"/>
        </w:rPr>
        <w:t xml:space="preserve"> </w:t>
      </w:r>
      <w:r w:rsidRPr="00C17C50">
        <w:rPr>
          <w:rFonts w:asciiTheme="minorHAnsi" w:hAnsiTheme="minorHAnsi" w:cstheme="minorHAnsi"/>
          <w:sz w:val="22"/>
          <w:szCs w:val="22"/>
        </w:rPr>
        <w:t xml:space="preserve">have a significant cognitive and/or communicative impairment. In fact, in some </w:t>
      </w:r>
      <w:r w:rsidR="00726DFC" w:rsidRPr="00C17C50">
        <w:rPr>
          <w:rFonts w:asciiTheme="minorHAnsi" w:hAnsiTheme="minorHAnsi" w:cstheme="minorHAnsi"/>
          <w:sz w:val="22"/>
          <w:szCs w:val="22"/>
        </w:rPr>
        <w:t>LTCHs</w:t>
      </w:r>
      <w:r w:rsidR="009C3C57" w:rsidRPr="00C17C50">
        <w:rPr>
          <w:rFonts w:asciiTheme="minorHAnsi" w:hAnsiTheme="minorHAnsi" w:cstheme="minorHAnsi"/>
          <w:sz w:val="22"/>
          <w:szCs w:val="22"/>
        </w:rPr>
        <w:t xml:space="preserve"> the</w:t>
      </w:r>
      <w:r w:rsidRPr="00C17C50">
        <w:rPr>
          <w:rFonts w:asciiTheme="minorHAnsi" w:hAnsiTheme="minorHAnsi" w:cstheme="minorHAnsi"/>
          <w:sz w:val="22"/>
          <w:szCs w:val="22"/>
        </w:rPr>
        <w:t xml:space="preserve">se patients represent the majority of patients served. </w:t>
      </w:r>
      <w:r w:rsidRPr="00C17C50">
        <w:rPr>
          <w:rFonts w:asciiTheme="minorHAnsi" w:hAnsiTheme="minorHAnsi" w:cstheme="minorHAnsi"/>
          <w:b/>
          <w:bCs/>
          <w:sz w:val="22"/>
          <w:szCs w:val="22"/>
        </w:rPr>
        <w:t xml:space="preserve">CHA recommends that required reporting of certain patient interview items, particularly the proposed items in the domain of cognition and communication, be phased in gradually to allow additional review of the collected data and the operational impact on </w:t>
      </w:r>
      <w:r w:rsidR="00C455AD" w:rsidRPr="00C17C50">
        <w:rPr>
          <w:rFonts w:asciiTheme="minorHAnsi" w:hAnsiTheme="minorHAnsi" w:cstheme="minorHAnsi"/>
          <w:b/>
          <w:bCs/>
          <w:sz w:val="22"/>
          <w:szCs w:val="22"/>
        </w:rPr>
        <w:t>LTCHs</w:t>
      </w:r>
      <w:r w:rsidRPr="00C17C50">
        <w:rPr>
          <w:rFonts w:asciiTheme="minorHAnsi" w:hAnsiTheme="minorHAnsi" w:cstheme="minorHAnsi"/>
          <w:b/>
          <w:bCs/>
          <w:sz w:val="22"/>
          <w:szCs w:val="22"/>
        </w:rPr>
        <w:t xml:space="preserve">. </w:t>
      </w:r>
      <w:r w:rsidRPr="00C17C50">
        <w:rPr>
          <w:rFonts w:asciiTheme="minorHAnsi" w:hAnsiTheme="minorHAnsi" w:cstheme="minorHAnsi"/>
          <w:sz w:val="22"/>
          <w:szCs w:val="22"/>
        </w:rPr>
        <w:t xml:space="preserve">An effective process would include active and frequent input from stakeholders, and an iterative process of measure refinement.  </w:t>
      </w:r>
    </w:p>
    <w:p w14:paraId="0DE2F30A" w14:textId="77777777" w:rsidR="00FB4EAA" w:rsidRPr="00C17C50" w:rsidRDefault="00FB4EAA" w:rsidP="00FB4EAA">
      <w:pPr>
        <w:pStyle w:val="BodyText"/>
        <w:tabs>
          <w:tab w:val="left" w:pos="9180"/>
        </w:tabs>
        <w:kinsoku w:val="0"/>
        <w:overflowPunct w:val="0"/>
        <w:spacing w:line="240" w:lineRule="auto"/>
        <w:ind w:left="0" w:firstLine="0"/>
        <w:rPr>
          <w:rFonts w:asciiTheme="minorHAnsi" w:hAnsiTheme="minorHAnsi" w:cstheme="minorHAnsi"/>
          <w:color w:val="000000"/>
        </w:rPr>
      </w:pPr>
    </w:p>
    <w:p w14:paraId="56927144" w14:textId="77777777" w:rsidR="00FB4EAA" w:rsidRPr="00C17C50" w:rsidRDefault="00FB4EAA" w:rsidP="00FB4EAA">
      <w:pPr>
        <w:pStyle w:val="BodyText"/>
        <w:tabs>
          <w:tab w:val="left" w:pos="9180"/>
        </w:tabs>
        <w:kinsoku w:val="0"/>
        <w:overflowPunct w:val="0"/>
        <w:spacing w:line="240" w:lineRule="auto"/>
        <w:ind w:left="720" w:firstLine="0"/>
        <w:rPr>
          <w:rFonts w:asciiTheme="minorHAnsi" w:hAnsiTheme="minorHAnsi" w:cstheme="minorHAnsi"/>
        </w:rPr>
      </w:pPr>
      <w:r w:rsidRPr="00C17C50">
        <w:rPr>
          <w:rFonts w:asciiTheme="minorHAnsi" w:hAnsiTheme="minorHAnsi" w:cstheme="minorHAnsi"/>
        </w:rPr>
        <w:t xml:space="preserve">As discussed in the November 2018 stakeholder call, a fruitful area of analysis may be the comparison of the results of the beta test items with similar items in the current patient assessment instruments and other medical documentation. Such a comparison would provide an additional “check” of whether the patient’s response was accurate and reflective of their function and condition outside of the interview process.  </w:t>
      </w:r>
    </w:p>
    <w:p w14:paraId="4B10251B" w14:textId="77777777" w:rsidR="000841A5" w:rsidRPr="00C17C50" w:rsidRDefault="000841A5" w:rsidP="00FB4EAA">
      <w:pPr>
        <w:pStyle w:val="BodyText"/>
        <w:tabs>
          <w:tab w:val="left" w:pos="9180"/>
        </w:tabs>
        <w:kinsoku w:val="0"/>
        <w:overflowPunct w:val="0"/>
        <w:spacing w:line="240" w:lineRule="auto"/>
        <w:ind w:left="720" w:firstLine="0"/>
        <w:rPr>
          <w:rFonts w:asciiTheme="minorHAnsi" w:hAnsiTheme="minorHAnsi" w:cstheme="minorHAnsi"/>
        </w:rPr>
      </w:pPr>
    </w:p>
    <w:p w14:paraId="456C49C3" w14:textId="77777777" w:rsidR="000841A5" w:rsidRPr="00C17C50" w:rsidRDefault="000841A5" w:rsidP="000841A5">
      <w:pPr>
        <w:pStyle w:val="BodyText"/>
        <w:numPr>
          <w:ilvl w:val="0"/>
          <w:numId w:val="9"/>
        </w:numPr>
        <w:tabs>
          <w:tab w:val="left" w:pos="9180"/>
        </w:tabs>
        <w:kinsoku w:val="0"/>
        <w:overflowPunct w:val="0"/>
        <w:spacing w:line="240" w:lineRule="auto"/>
        <w:rPr>
          <w:rFonts w:asciiTheme="minorHAnsi" w:hAnsiTheme="minorHAnsi" w:cstheme="minorHAnsi"/>
        </w:rPr>
      </w:pPr>
      <w:r w:rsidRPr="00C17C50">
        <w:rPr>
          <w:rFonts w:asciiTheme="minorHAnsi" w:hAnsiTheme="minorHAnsi" w:cstheme="minorHAnsi"/>
          <w:b/>
        </w:rPr>
        <w:t xml:space="preserve">Detail and adopt a staged implementation plan to allow </w:t>
      </w:r>
      <w:r w:rsidR="00726DFC" w:rsidRPr="00C17C50">
        <w:rPr>
          <w:rFonts w:asciiTheme="minorHAnsi" w:hAnsiTheme="minorHAnsi" w:cstheme="minorHAnsi"/>
          <w:b/>
        </w:rPr>
        <w:t>LTCHs</w:t>
      </w:r>
      <w:r w:rsidRPr="00C17C50">
        <w:rPr>
          <w:rFonts w:asciiTheme="minorHAnsi" w:hAnsiTheme="minorHAnsi" w:cstheme="minorHAnsi"/>
          <w:b/>
        </w:rPr>
        <w:t xml:space="preserve"> and other post-acute care providers additional time to manage the operational and workflow changes needed to ensure reliable and valid data collection across all patients. Additional evaluation of SPADEs and their intended uses is needed prior to nationwide implementation and adoption</w:t>
      </w:r>
      <w:r w:rsidRPr="00C17C50">
        <w:rPr>
          <w:rFonts w:asciiTheme="minorHAnsi" w:hAnsiTheme="minorHAnsi" w:cstheme="minorHAnsi"/>
        </w:rPr>
        <w:t xml:space="preserve">.    </w:t>
      </w:r>
    </w:p>
    <w:p w14:paraId="66568638" w14:textId="77777777" w:rsidR="000841A5" w:rsidRPr="00C17C50" w:rsidRDefault="000841A5" w:rsidP="000841A5">
      <w:pPr>
        <w:pStyle w:val="BodyText"/>
        <w:tabs>
          <w:tab w:val="left" w:pos="9180"/>
        </w:tabs>
        <w:kinsoku w:val="0"/>
        <w:overflowPunct w:val="0"/>
        <w:spacing w:line="240" w:lineRule="auto"/>
        <w:rPr>
          <w:rFonts w:asciiTheme="minorHAnsi" w:hAnsiTheme="minorHAnsi" w:cstheme="minorHAnsi"/>
        </w:rPr>
      </w:pPr>
    </w:p>
    <w:p w14:paraId="2067FE05" w14:textId="33879644" w:rsidR="002660EE" w:rsidRPr="00C17C50" w:rsidRDefault="000841A5" w:rsidP="002660EE">
      <w:pPr>
        <w:pStyle w:val="BodyText"/>
        <w:tabs>
          <w:tab w:val="left" w:pos="9180"/>
        </w:tabs>
        <w:kinsoku w:val="0"/>
        <w:overflowPunct w:val="0"/>
        <w:spacing w:line="240" w:lineRule="auto"/>
        <w:ind w:left="720" w:firstLine="0"/>
        <w:rPr>
          <w:rFonts w:asciiTheme="minorHAnsi" w:hAnsiTheme="minorHAnsi" w:cstheme="minorHAnsi"/>
          <w:bCs/>
        </w:rPr>
      </w:pPr>
      <w:r w:rsidRPr="00C17C50">
        <w:rPr>
          <w:rFonts w:asciiTheme="minorHAnsi" w:hAnsiTheme="minorHAnsi" w:cstheme="minorHAnsi"/>
        </w:rPr>
        <w:t xml:space="preserve">Following the development of a framework for prioritizing the SPADE elements, we ask that the agency lay out a multi-year plan for implementation. The current proposal of implementation by October 1, 2020, is not workable from an operational and IT infrastructure perspective. However, with additional time and shared understanding of future goals, providers can prioritize </w:t>
      </w:r>
      <w:r w:rsidRPr="00C17C50">
        <w:rPr>
          <w:rFonts w:asciiTheme="minorHAnsi" w:hAnsiTheme="minorHAnsi" w:cstheme="minorHAnsi"/>
        </w:rPr>
        <w:lastRenderedPageBreak/>
        <w:t xml:space="preserve">staff training and sequence IT resources to ensure smooth implementation of each of the prioritized data elements. </w:t>
      </w:r>
    </w:p>
    <w:p w14:paraId="5088B9F7" w14:textId="77777777" w:rsidR="002660EE" w:rsidRPr="00C17C50" w:rsidRDefault="002660EE" w:rsidP="002660EE">
      <w:pPr>
        <w:pStyle w:val="BodyText"/>
        <w:tabs>
          <w:tab w:val="left" w:pos="9180"/>
        </w:tabs>
        <w:kinsoku w:val="0"/>
        <w:overflowPunct w:val="0"/>
        <w:spacing w:line="240" w:lineRule="auto"/>
        <w:rPr>
          <w:rFonts w:asciiTheme="minorHAnsi" w:hAnsiTheme="minorHAnsi" w:cstheme="minorHAnsi"/>
        </w:rPr>
      </w:pPr>
    </w:p>
    <w:p w14:paraId="285322C1" w14:textId="5E0E6106" w:rsidR="007E762F" w:rsidRPr="00C17C50" w:rsidRDefault="002660EE" w:rsidP="00315338">
      <w:pPr>
        <w:tabs>
          <w:tab w:val="left" w:pos="9180"/>
        </w:tabs>
        <w:spacing w:after="0" w:line="240" w:lineRule="auto"/>
        <w:rPr>
          <w:rFonts w:cstheme="minorHAnsi"/>
        </w:rPr>
      </w:pPr>
      <w:r w:rsidRPr="00C17C50">
        <w:rPr>
          <w:rFonts w:cstheme="minorHAnsi"/>
        </w:rPr>
        <w:t>This mu</w:t>
      </w:r>
      <w:r w:rsidR="000841A5" w:rsidRPr="00C17C50">
        <w:rPr>
          <w:rFonts w:cstheme="minorHAnsi"/>
        </w:rPr>
        <w:t>l</w:t>
      </w:r>
      <w:r w:rsidRPr="00C17C50">
        <w:rPr>
          <w:rFonts w:cstheme="minorHAnsi"/>
        </w:rPr>
        <w:t xml:space="preserve">ti-step approach would allow </w:t>
      </w:r>
      <w:r w:rsidR="00726DFC" w:rsidRPr="00C17C50">
        <w:rPr>
          <w:rFonts w:cstheme="minorHAnsi"/>
        </w:rPr>
        <w:t>LTCH</w:t>
      </w:r>
      <w:r w:rsidRPr="00C17C50">
        <w:rPr>
          <w:rFonts w:cstheme="minorHAnsi"/>
        </w:rPr>
        <w:t xml:space="preserve"> facilities and CMS the opportunity to develop and manage their coding, assessment, and documentation procedures in a comprehensive and thoughtful manner, and it would provide more lead time to collaborate with key partners. </w:t>
      </w:r>
      <w:r w:rsidR="008B65C8" w:rsidRPr="00C17C50">
        <w:rPr>
          <w:rFonts w:cstheme="minorHAnsi"/>
        </w:rPr>
        <w:t>U</w:t>
      </w:r>
      <w:r w:rsidRPr="00C17C50">
        <w:rPr>
          <w:rFonts w:cstheme="minorHAnsi"/>
        </w:rPr>
        <w:t xml:space="preserve">nderstanding how the data </w:t>
      </w:r>
      <w:r w:rsidR="00466BDE" w:rsidRPr="00C17C50">
        <w:rPr>
          <w:rFonts w:cstheme="minorHAnsi"/>
        </w:rPr>
        <w:t>are</w:t>
      </w:r>
      <w:r w:rsidRPr="00C17C50">
        <w:rPr>
          <w:rFonts w:cstheme="minorHAnsi"/>
        </w:rPr>
        <w:t xml:space="preserve"> intended to be used is critical. </w:t>
      </w:r>
      <w:r w:rsidR="00567B82" w:rsidRPr="00C17C50">
        <w:rPr>
          <w:rFonts w:cstheme="minorHAnsi"/>
          <w:color w:val="000000"/>
        </w:rPr>
        <w:t xml:space="preserve">  </w:t>
      </w:r>
      <w:r w:rsidR="009B3436" w:rsidRPr="00C17C50">
        <w:rPr>
          <w:rFonts w:cstheme="minorHAnsi"/>
          <w:b/>
          <w:bCs/>
        </w:rPr>
        <w:t xml:space="preserve">  </w:t>
      </w:r>
    </w:p>
    <w:p w14:paraId="186920C7" w14:textId="77777777" w:rsidR="007E762F" w:rsidRPr="00C17C50" w:rsidRDefault="007E762F" w:rsidP="007E762F">
      <w:pPr>
        <w:pStyle w:val="BodyText"/>
        <w:tabs>
          <w:tab w:val="left" w:pos="9180"/>
        </w:tabs>
        <w:kinsoku w:val="0"/>
        <w:overflowPunct w:val="0"/>
        <w:spacing w:line="240" w:lineRule="auto"/>
        <w:ind w:left="0" w:firstLine="0"/>
        <w:rPr>
          <w:rFonts w:asciiTheme="minorHAnsi" w:hAnsiTheme="minorHAnsi" w:cstheme="minorHAnsi"/>
        </w:rPr>
      </w:pPr>
    </w:p>
    <w:p w14:paraId="141B43E5" w14:textId="77777777" w:rsidR="006B04F3" w:rsidRPr="00C17C50" w:rsidRDefault="006B04F3" w:rsidP="007E762F">
      <w:pPr>
        <w:pStyle w:val="BodyText"/>
        <w:tabs>
          <w:tab w:val="left" w:pos="9180"/>
        </w:tabs>
        <w:kinsoku w:val="0"/>
        <w:overflowPunct w:val="0"/>
        <w:spacing w:line="240" w:lineRule="auto"/>
        <w:ind w:left="0" w:firstLine="0"/>
        <w:rPr>
          <w:rFonts w:asciiTheme="minorHAnsi" w:hAnsiTheme="minorHAnsi" w:cstheme="minorHAnsi"/>
        </w:rPr>
      </w:pPr>
      <w:r w:rsidRPr="00C17C50">
        <w:rPr>
          <w:rFonts w:asciiTheme="minorHAnsi" w:hAnsiTheme="minorHAnsi" w:cstheme="minorHAnsi"/>
        </w:rPr>
        <w:t>CHA appreciates the opportunity to comment on the FFY 20</w:t>
      </w:r>
      <w:r w:rsidR="002660A7" w:rsidRPr="00C17C50">
        <w:rPr>
          <w:rFonts w:asciiTheme="minorHAnsi" w:hAnsiTheme="minorHAnsi" w:cstheme="minorHAnsi"/>
        </w:rPr>
        <w:t>20</w:t>
      </w:r>
      <w:r w:rsidRPr="00C17C50">
        <w:rPr>
          <w:rFonts w:asciiTheme="minorHAnsi" w:hAnsiTheme="minorHAnsi" w:cstheme="minorHAnsi"/>
        </w:rPr>
        <w:t xml:space="preserve"> </w:t>
      </w:r>
      <w:r w:rsidR="00726DFC" w:rsidRPr="00C17C50">
        <w:rPr>
          <w:rFonts w:asciiTheme="minorHAnsi" w:hAnsiTheme="minorHAnsi" w:cstheme="minorHAnsi"/>
        </w:rPr>
        <w:t>LTCH</w:t>
      </w:r>
      <w:r w:rsidRPr="00C17C50">
        <w:rPr>
          <w:rFonts w:asciiTheme="minorHAnsi" w:hAnsiTheme="minorHAnsi" w:cstheme="minorHAnsi"/>
        </w:rPr>
        <w:t xml:space="preserve"> PPS proposed rule. If you have any questions, please do not hesitate to contact me at </w:t>
      </w:r>
      <w:r w:rsidRPr="00C17C50">
        <w:rPr>
          <w:rFonts w:asciiTheme="minorHAnsi" w:hAnsiTheme="minorHAnsi" w:cstheme="minorHAnsi"/>
          <w:color w:val="0000FF"/>
        </w:rPr>
        <w:t xml:space="preserve">akeefe@calhospital.org </w:t>
      </w:r>
      <w:r w:rsidRPr="00C17C50">
        <w:rPr>
          <w:rFonts w:asciiTheme="minorHAnsi" w:hAnsiTheme="minorHAnsi" w:cstheme="minorHAnsi"/>
        </w:rPr>
        <w:t xml:space="preserve">or (202) 488-4688; or my colleague Pat Blaisdell, vice president continuum of care, at </w:t>
      </w:r>
      <w:r w:rsidRPr="00C17C50">
        <w:rPr>
          <w:rFonts w:asciiTheme="minorHAnsi" w:hAnsiTheme="minorHAnsi" w:cstheme="minorHAnsi"/>
          <w:color w:val="0000FF"/>
        </w:rPr>
        <w:t xml:space="preserve">pblaisdell@calhospital.org </w:t>
      </w:r>
      <w:r w:rsidRPr="00C17C50">
        <w:rPr>
          <w:rFonts w:asciiTheme="minorHAnsi" w:hAnsiTheme="minorHAnsi" w:cstheme="minorHAnsi"/>
        </w:rPr>
        <w:t>or (916) 552-7553.</w:t>
      </w:r>
    </w:p>
    <w:p w14:paraId="7508543F" w14:textId="77777777" w:rsidR="006B04F3" w:rsidRPr="00C17C50" w:rsidRDefault="006B04F3" w:rsidP="006B04F3">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 </w:t>
      </w:r>
    </w:p>
    <w:p w14:paraId="5B94ED98" w14:textId="77777777" w:rsidR="00E809ED" w:rsidRPr="00C17C50" w:rsidRDefault="006B04F3" w:rsidP="006B04F3">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Sincerely, </w:t>
      </w:r>
    </w:p>
    <w:p w14:paraId="7B6BD208" w14:textId="77777777" w:rsidR="006B04F3" w:rsidRPr="00C17C50" w:rsidRDefault="006B04F3" w:rsidP="006B04F3">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/s/ </w:t>
      </w:r>
    </w:p>
    <w:p w14:paraId="726579BC" w14:textId="77777777" w:rsidR="006B04F3" w:rsidRPr="00C17C50" w:rsidRDefault="006B04F3" w:rsidP="006B04F3">
      <w:pPr>
        <w:pStyle w:val="Default"/>
        <w:rPr>
          <w:rFonts w:asciiTheme="minorHAnsi" w:hAnsiTheme="minorHAnsi" w:cstheme="minorHAnsi"/>
          <w:sz w:val="22"/>
          <w:szCs w:val="22"/>
        </w:rPr>
      </w:pPr>
      <w:r w:rsidRPr="00C17C50">
        <w:rPr>
          <w:rFonts w:asciiTheme="minorHAnsi" w:hAnsiTheme="minorHAnsi" w:cstheme="minorHAnsi"/>
          <w:sz w:val="22"/>
          <w:szCs w:val="22"/>
        </w:rPr>
        <w:t xml:space="preserve">Alyssa Keefe </w:t>
      </w:r>
    </w:p>
    <w:p w14:paraId="39FC12D0" w14:textId="77777777" w:rsidR="006B04F3" w:rsidRPr="00C17C50" w:rsidRDefault="006B04F3" w:rsidP="006B04F3">
      <w:pPr>
        <w:pStyle w:val="Default"/>
        <w:rPr>
          <w:rFonts w:asciiTheme="minorHAnsi" w:hAnsiTheme="minorHAnsi" w:cstheme="minorHAnsi"/>
          <w:sz w:val="22"/>
          <w:szCs w:val="22"/>
        </w:rPr>
      </w:pPr>
      <w:r w:rsidRPr="00C17C50">
        <w:rPr>
          <w:rFonts w:asciiTheme="minorHAnsi" w:hAnsiTheme="minorHAnsi" w:cstheme="minorHAnsi"/>
          <w:sz w:val="22"/>
          <w:szCs w:val="22"/>
        </w:rPr>
        <w:t>Vice President Federal Regulatory Affairs</w:t>
      </w:r>
    </w:p>
    <w:p w14:paraId="166A9699" w14:textId="77777777" w:rsidR="006B04F3" w:rsidRPr="00C17C50" w:rsidRDefault="006B04F3" w:rsidP="006B04F3">
      <w:pPr>
        <w:pStyle w:val="Default"/>
        <w:rPr>
          <w:rFonts w:asciiTheme="minorHAnsi" w:hAnsiTheme="minorHAnsi" w:cstheme="minorHAnsi"/>
          <w:sz w:val="22"/>
          <w:szCs w:val="22"/>
        </w:rPr>
      </w:pPr>
    </w:p>
    <w:p w14:paraId="122027AD" w14:textId="77777777" w:rsidR="006B04F3" w:rsidRPr="00C17C50" w:rsidRDefault="006B04F3" w:rsidP="006B04F3">
      <w:pPr>
        <w:spacing w:after="0" w:line="240" w:lineRule="auto"/>
        <w:rPr>
          <w:rFonts w:eastAsia="Calibri" w:cstheme="minorHAnsi"/>
        </w:rPr>
      </w:pPr>
    </w:p>
    <w:p w14:paraId="769EE53F" w14:textId="77777777" w:rsidR="006B04F3" w:rsidRPr="00C17C50" w:rsidRDefault="006B04F3" w:rsidP="007B20BC">
      <w:pPr>
        <w:rPr>
          <w:rFonts w:cstheme="minorHAnsi"/>
          <w:b/>
          <w:bCs/>
        </w:rPr>
      </w:pPr>
    </w:p>
    <w:sectPr w:rsidR="006B04F3" w:rsidRPr="00C17C50" w:rsidSect="007870A5">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DBF6A" w14:textId="77777777" w:rsidR="009B7B39" w:rsidRDefault="009B7B39" w:rsidP="007870A5">
      <w:pPr>
        <w:spacing w:after="0" w:line="240" w:lineRule="auto"/>
      </w:pPr>
      <w:r>
        <w:separator/>
      </w:r>
    </w:p>
  </w:endnote>
  <w:endnote w:type="continuationSeparator" w:id="0">
    <w:p w14:paraId="7FEC66DD" w14:textId="77777777" w:rsidR="009B7B39" w:rsidRDefault="009B7B39" w:rsidP="0078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2F94" w14:textId="77777777" w:rsidR="006F72DA" w:rsidRDefault="006F72DA" w:rsidP="007870A5">
    <w:pPr>
      <w:pStyle w:val="Footer"/>
      <w:jc w:val="center"/>
    </w:pPr>
    <w:r>
      <w:rPr>
        <w:noProof/>
      </w:rPr>
      <w:drawing>
        <wp:inline distT="0" distB="0" distL="0" distR="0" wp14:anchorId="5938DE00" wp14:editId="75A98C33">
          <wp:extent cx="5943600" cy="390525"/>
          <wp:effectExtent l="0" t="0" r="0" b="9525"/>
          <wp:docPr id="4" name="Picture 4" descr="footer DC&am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DC&amp;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BF9B9" w14:textId="77777777" w:rsidR="009B7B39" w:rsidRDefault="009B7B39" w:rsidP="007870A5">
      <w:pPr>
        <w:spacing w:after="0" w:line="240" w:lineRule="auto"/>
      </w:pPr>
      <w:r>
        <w:separator/>
      </w:r>
    </w:p>
  </w:footnote>
  <w:footnote w:type="continuationSeparator" w:id="0">
    <w:p w14:paraId="6DF50143" w14:textId="77777777" w:rsidR="009B7B39" w:rsidRDefault="009B7B39" w:rsidP="00787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E2BD" w14:textId="3228E79C" w:rsidR="006F72DA" w:rsidRPr="00FC0B26" w:rsidRDefault="006F72DA" w:rsidP="007870A5">
    <w:pPr>
      <w:pStyle w:val="Header"/>
      <w:framePr w:wrap="around" w:vAnchor="text" w:hAnchor="margin" w:xAlign="right" w:y="1"/>
      <w:rPr>
        <w:rStyle w:val="PageNumber"/>
        <w:rFonts w:cstheme="minorHAnsi"/>
      </w:rPr>
    </w:pPr>
    <w:r w:rsidRPr="00FC0B26">
      <w:rPr>
        <w:rStyle w:val="PageNumber"/>
        <w:rFonts w:cstheme="minorHAnsi"/>
      </w:rPr>
      <w:t xml:space="preserve">Page </w:t>
    </w:r>
    <w:r w:rsidRPr="00FC0B26">
      <w:rPr>
        <w:rStyle w:val="PageNumber"/>
        <w:rFonts w:cstheme="minorHAnsi"/>
      </w:rPr>
      <w:fldChar w:fldCharType="begin"/>
    </w:r>
    <w:r w:rsidRPr="00FC0B26">
      <w:rPr>
        <w:rStyle w:val="PageNumber"/>
        <w:rFonts w:cstheme="minorHAnsi"/>
      </w:rPr>
      <w:instrText xml:space="preserve">PAGE  </w:instrText>
    </w:r>
    <w:r w:rsidRPr="00FC0B26">
      <w:rPr>
        <w:rStyle w:val="PageNumber"/>
        <w:rFonts w:cstheme="minorHAnsi"/>
      </w:rPr>
      <w:fldChar w:fldCharType="separate"/>
    </w:r>
    <w:r w:rsidR="00386252">
      <w:rPr>
        <w:rStyle w:val="PageNumber"/>
        <w:rFonts w:cstheme="minorHAnsi"/>
        <w:noProof/>
      </w:rPr>
      <w:t>10</w:t>
    </w:r>
    <w:r w:rsidRPr="00FC0B26">
      <w:rPr>
        <w:rStyle w:val="PageNumber"/>
        <w:rFonts w:cstheme="minorHAnsi"/>
      </w:rPr>
      <w:fldChar w:fldCharType="end"/>
    </w:r>
  </w:p>
  <w:p w14:paraId="7A6A44C6" w14:textId="77777777" w:rsidR="006F72DA" w:rsidRPr="00FC0B26" w:rsidRDefault="006F72DA" w:rsidP="007870A5">
    <w:pPr>
      <w:pStyle w:val="Header"/>
      <w:ind w:right="360"/>
      <w:rPr>
        <w:rFonts w:cstheme="minorHAnsi"/>
      </w:rPr>
    </w:pPr>
    <w:r>
      <w:rPr>
        <w:rFonts w:cstheme="minorHAnsi"/>
      </w:rPr>
      <w:t>CMS Administrator Seema Verma</w:t>
    </w:r>
  </w:p>
  <w:p w14:paraId="59DD5125" w14:textId="77777777" w:rsidR="006F72DA" w:rsidRPr="00FC0B26" w:rsidRDefault="007C2D3E" w:rsidP="007870A5">
    <w:pPr>
      <w:pStyle w:val="Header"/>
      <w:rPr>
        <w:rFonts w:cstheme="minorHAnsi"/>
      </w:rPr>
    </w:pPr>
    <w:r>
      <w:rPr>
        <w:rFonts w:cstheme="minorHAnsi"/>
      </w:rPr>
      <w:t xml:space="preserve">June </w:t>
    </w:r>
    <w:r w:rsidR="002B170C">
      <w:rPr>
        <w:rFonts w:cstheme="minorHAnsi"/>
      </w:rPr>
      <w:t xml:space="preserve">24, </w:t>
    </w:r>
    <w:r w:rsidR="006F72DA">
      <w:rPr>
        <w:rFonts w:cstheme="minorHAnsi"/>
      </w:rPr>
      <w:t>201</w:t>
    </w:r>
    <w:r w:rsidR="00012FAF">
      <w:rPr>
        <w:rFonts w:cstheme="minorHAnsi"/>
      </w:rPr>
      <w:t>9</w:t>
    </w:r>
  </w:p>
  <w:p w14:paraId="1A7EE3F7" w14:textId="77777777" w:rsidR="006F72DA" w:rsidRDefault="00511CEB" w:rsidP="007870A5">
    <w:pPr>
      <w:pStyle w:val="Header"/>
      <w:rPr>
        <w:b/>
      </w:rPr>
    </w:pPr>
    <w:r>
      <w:rPr>
        <w:rFonts w:cstheme="minorHAnsi"/>
        <w:noProof/>
      </w:rPr>
      <w:pict w14:anchorId="61E87BDD">
        <v:rect id="_x0000_i1025" alt="" style="width:468pt;height:.05pt;mso-width-percent:0;mso-height-percent:0;mso-width-percent:0;mso-height-percent:0" o:hralign="center" o:hrstd="t" o:hr="t" fillcolor="#aca899" stroked="f"/>
      </w:pict>
    </w:r>
  </w:p>
  <w:p w14:paraId="10FC474F" w14:textId="77777777" w:rsidR="006F72DA" w:rsidRPr="007870A5" w:rsidRDefault="006F72DA" w:rsidP="007870A5">
    <w:pPr>
      <w:pStyle w:val="Header"/>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86DC" w14:textId="77777777" w:rsidR="006F72DA" w:rsidRDefault="006F72DA" w:rsidP="007870A5">
    <w:pPr>
      <w:pStyle w:val="Header"/>
      <w:jc w:val="right"/>
    </w:pPr>
    <w:r>
      <w:rPr>
        <w:b/>
        <w:noProof/>
      </w:rPr>
      <w:drawing>
        <wp:inline distT="0" distB="0" distL="0" distR="0" wp14:anchorId="2EE4ABEC" wp14:editId="15A44006">
          <wp:extent cx="2009775" cy="952500"/>
          <wp:effectExtent l="0" t="0" r="9525" b="0"/>
          <wp:docPr id="3" name="Picture 3" descr="CHA logo with tag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 logo with tag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702"/>
    <w:multiLevelType w:val="hybridMultilevel"/>
    <w:tmpl w:val="131C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61CD8"/>
    <w:multiLevelType w:val="hybridMultilevel"/>
    <w:tmpl w:val="6DBE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17C4A"/>
    <w:multiLevelType w:val="hybridMultilevel"/>
    <w:tmpl w:val="EAE27E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031C5"/>
    <w:multiLevelType w:val="hybridMultilevel"/>
    <w:tmpl w:val="360A8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41735"/>
    <w:multiLevelType w:val="hybridMultilevel"/>
    <w:tmpl w:val="EE0CD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2506B7"/>
    <w:multiLevelType w:val="hybridMultilevel"/>
    <w:tmpl w:val="71EAA3B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21992744"/>
    <w:multiLevelType w:val="hybridMultilevel"/>
    <w:tmpl w:val="288A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A7385"/>
    <w:multiLevelType w:val="multilevel"/>
    <w:tmpl w:val="912A92D0"/>
    <w:lvl w:ilvl="0">
      <w:start w:val="1"/>
      <w:numFmt w:val="upperRoman"/>
      <w:lvlRestart w:val="0"/>
      <w:pStyle w:val="Level1"/>
      <w:lvlText w:val="%1."/>
      <w:lvlJc w:val="left"/>
      <w:pPr>
        <w:tabs>
          <w:tab w:val="num" w:pos="720"/>
        </w:tabs>
        <w:ind w:left="720" w:hanging="720"/>
      </w:pPr>
      <w:rPr>
        <w:b w:val="0"/>
        <w:i w:val="0"/>
        <w:u w:val="none"/>
      </w:rPr>
    </w:lvl>
    <w:lvl w:ilvl="1">
      <w:start w:val="1"/>
      <w:numFmt w:val="upperLetter"/>
      <w:pStyle w:val="Level2"/>
      <w:lvlText w:val="%2."/>
      <w:lvlJc w:val="left"/>
      <w:pPr>
        <w:tabs>
          <w:tab w:val="num" w:pos="1440"/>
        </w:tabs>
        <w:ind w:left="1440" w:hanging="720"/>
      </w:pPr>
      <w:rPr>
        <w:b w:val="0"/>
        <w:i w:val="0"/>
        <w:u w:val="none"/>
      </w:rPr>
    </w:lvl>
    <w:lvl w:ilvl="2">
      <w:start w:val="1"/>
      <w:numFmt w:val="decimal"/>
      <w:pStyle w:val="Level3"/>
      <w:lvlText w:val="%3."/>
      <w:lvlJc w:val="left"/>
      <w:pPr>
        <w:tabs>
          <w:tab w:val="num" w:pos="2160"/>
        </w:tabs>
        <w:ind w:left="2160" w:hanging="720"/>
      </w:pPr>
      <w:rPr>
        <w:b w:val="0"/>
        <w:i w:val="0"/>
        <w:u w:val="none"/>
      </w:rPr>
    </w:lvl>
    <w:lvl w:ilvl="3">
      <w:start w:val="1"/>
      <w:numFmt w:val="lowerRoman"/>
      <w:pStyle w:val="Level4"/>
      <w:lvlText w:val="(%4)"/>
      <w:lvlJc w:val="left"/>
      <w:pPr>
        <w:tabs>
          <w:tab w:val="num" w:pos="2880"/>
        </w:tabs>
        <w:ind w:left="2880" w:hanging="720"/>
      </w:pPr>
      <w:rPr>
        <w:b w:val="0"/>
        <w:i w:val="0"/>
        <w:u w:val="none"/>
      </w:rPr>
    </w:lvl>
    <w:lvl w:ilvl="4">
      <w:start w:val="1"/>
      <w:numFmt w:val="lowerLetter"/>
      <w:pStyle w:val="Level5"/>
      <w:lvlText w:val="(%5)"/>
      <w:lvlJc w:val="left"/>
      <w:pPr>
        <w:tabs>
          <w:tab w:val="num" w:pos="3600"/>
        </w:tabs>
        <w:ind w:left="3600" w:hanging="720"/>
      </w:pPr>
      <w:rPr>
        <w:b w:val="0"/>
        <w:i w:val="0"/>
        <w:u w:val="none"/>
      </w:rPr>
    </w:lvl>
    <w:lvl w:ilvl="5">
      <w:start w:val="1"/>
      <w:numFmt w:val="upperLetter"/>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color w:val="000000"/>
        <w:u w:val="none"/>
      </w:rPr>
    </w:lvl>
  </w:abstractNum>
  <w:abstractNum w:abstractNumId="8" w15:restartNumberingAfterBreak="0">
    <w:nsid w:val="64C64917"/>
    <w:multiLevelType w:val="hybridMultilevel"/>
    <w:tmpl w:val="6194E1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93C663E"/>
    <w:multiLevelType w:val="hybridMultilevel"/>
    <w:tmpl w:val="468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80238"/>
    <w:multiLevelType w:val="hybridMultilevel"/>
    <w:tmpl w:val="E43A4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10"/>
  </w:num>
  <w:num w:numId="6">
    <w:abstractNumId w:val="0"/>
  </w:num>
  <w:num w:numId="7">
    <w:abstractNumId w:val="9"/>
  </w:num>
  <w:num w:numId="8">
    <w:abstractNumId w:val="2"/>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84"/>
    <w:rsid w:val="0000129E"/>
    <w:rsid w:val="00003D4D"/>
    <w:rsid w:val="000066BB"/>
    <w:rsid w:val="000076B6"/>
    <w:rsid w:val="000110C2"/>
    <w:rsid w:val="00012FAF"/>
    <w:rsid w:val="00014746"/>
    <w:rsid w:val="00033B4B"/>
    <w:rsid w:val="00034701"/>
    <w:rsid w:val="00043A36"/>
    <w:rsid w:val="00047A55"/>
    <w:rsid w:val="0005039E"/>
    <w:rsid w:val="00050470"/>
    <w:rsid w:val="000518D6"/>
    <w:rsid w:val="00056278"/>
    <w:rsid w:val="000777EA"/>
    <w:rsid w:val="000829D8"/>
    <w:rsid w:val="000841A5"/>
    <w:rsid w:val="0008763F"/>
    <w:rsid w:val="00091AC3"/>
    <w:rsid w:val="00092762"/>
    <w:rsid w:val="00096022"/>
    <w:rsid w:val="000D3FBA"/>
    <w:rsid w:val="001137C1"/>
    <w:rsid w:val="00114A0C"/>
    <w:rsid w:val="001207DF"/>
    <w:rsid w:val="001254BE"/>
    <w:rsid w:val="00147BC4"/>
    <w:rsid w:val="00170BC3"/>
    <w:rsid w:val="0017414F"/>
    <w:rsid w:val="001771BD"/>
    <w:rsid w:val="001A1478"/>
    <w:rsid w:val="001C2C54"/>
    <w:rsid w:val="001C47C2"/>
    <w:rsid w:val="001C5B88"/>
    <w:rsid w:val="001D7034"/>
    <w:rsid w:val="001E3989"/>
    <w:rsid w:val="001E744D"/>
    <w:rsid w:val="001E7F8C"/>
    <w:rsid w:val="00200C54"/>
    <w:rsid w:val="00213EEA"/>
    <w:rsid w:val="00227103"/>
    <w:rsid w:val="00232942"/>
    <w:rsid w:val="00234E3C"/>
    <w:rsid w:val="002431FB"/>
    <w:rsid w:val="002619A9"/>
    <w:rsid w:val="002660A7"/>
    <w:rsid w:val="002660EE"/>
    <w:rsid w:val="00283291"/>
    <w:rsid w:val="00286DDC"/>
    <w:rsid w:val="002B170C"/>
    <w:rsid w:val="002B3796"/>
    <w:rsid w:val="002B4D16"/>
    <w:rsid w:val="002B6E32"/>
    <w:rsid w:val="002C6F7C"/>
    <w:rsid w:val="00302C3A"/>
    <w:rsid w:val="00312F65"/>
    <w:rsid w:val="00315338"/>
    <w:rsid w:val="0031545B"/>
    <w:rsid w:val="00324D1D"/>
    <w:rsid w:val="00325A75"/>
    <w:rsid w:val="0033099B"/>
    <w:rsid w:val="003322C9"/>
    <w:rsid w:val="0034487D"/>
    <w:rsid w:val="003452CC"/>
    <w:rsid w:val="00356A10"/>
    <w:rsid w:val="00380EE3"/>
    <w:rsid w:val="00386252"/>
    <w:rsid w:val="003979DA"/>
    <w:rsid w:val="003A11CF"/>
    <w:rsid w:val="003A19FC"/>
    <w:rsid w:val="003A1E0A"/>
    <w:rsid w:val="003A61B2"/>
    <w:rsid w:val="003B6655"/>
    <w:rsid w:val="003B76BC"/>
    <w:rsid w:val="003C1198"/>
    <w:rsid w:val="003F163E"/>
    <w:rsid w:val="003F3357"/>
    <w:rsid w:val="004009E2"/>
    <w:rsid w:val="0040410D"/>
    <w:rsid w:val="00424DED"/>
    <w:rsid w:val="00437A71"/>
    <w:rsid w:val="00456056"/>
    <w:rsid w:val="00466BDE"/>
    <w:rsid w:val="004705B8"/>
    <w:rsid w:val="0047317A"/>
    <w:rsid w:val="00481569"/>
    <w:rsid w:val="00484F83"/>
    <w:rsid w:val="004855DA"/>
    <w:rsid w:val="00490FF1"/>
    <w:rsid w:val="00493299"/>
    <w:rsid w:val="004A28A4"/>
    <w:rsid w:val="004A4FAF"/>
    <w:rsid w:val="004B114E"/>
    <w:rsid w:val="004B2FDA"/>
    <w:rsid w:val="004C23E9"/>
    <w:rsid w:val="004C319C"/>
    <w:rsid w:val="004C6A52"/>
    <w:rsid w:val="004E1827"/>
    <w:rsid w:val="004E2C49"/>
    <w:rsid w:val="00511CEB"/>
    <w:rsid w:val="00527F53"/>
    <w:rsid w:val="00530D79"/>
    <w:rsid w:val="005324B6"/>
    <w:rsid w:val="00545F93"/>
    <w:rsid w:val="005472F1"/>
    <w:rsid w:val="00561FFF"/>
    <w:rsid w:val="0056636D"/>
    <w:rsid w:val="00567B82"/>
    <w:rsid w:val="00575505"/>
    <w:rsid w:val="00582C34"/>
    <w:rsid w:val="00587379"/>
    <w:rsid w:val="00593F65"/>
    <w:rsid w:val="00594654"/>
    <w:rsid w:val="00597AA1"/>
    <w:rsid w:val="005A182A"/>
    <w:rsid w:val="005B7A8A"/>
    <w:rsid w:val="005E1B05"/>
    <w:rsid w:val="005E7BA1"/>
    <w:rsid w:val="00600AF9"/>
    <w:rsid w:val="00600D04"/>
    <w:rsid w:val="006014B8"/>
    <w:rsid w:val="0060702D"/>
    <w:rsid w:val="0060743D"/>
    <w:rsid w:val="006102C0"/>
    <w:rsid w:val="00612423"/>
    <w:rsid w:val="00623529"/>
    <w:rsid w:val="00626DAA"/>
    <w:rsid w:val="0063313F"/>
    <w:rsid w:val="0063600D"/>
    <w:rsid w:val="0063601D"/>
    <w:rsid w:val="00656494"/>
    <w:rsid w:val="00660763"/>
    <w:rsid w:val="0066511A"/>
    <w:rsid w:val="00667FF2"/>
    <w:rsid w:val="00673082"/>
    <w:rsid w:val="00694A1C"/>
    <w:rsid w:val="00695B97"/>
    <w:rsid w:val="006A0D31"/>
    <w:rsid w:val="006A5089"/>
    <w:rsid w:val="006B04F3"/>
    <w:rsid w:val="006B6F06"/>
    <w:rsid w:val="006D314A"/>
    <w:rsid w:val="006D3FEF"/>
    <w:rsid w:val="006D6B09"/>
    <w:rsid w:val="006E1423"/>
    <w:rsid w:val="006F2775"/>
    <w:rsid w:val="006F40F5"/>
    <w:rsid w:val="006F64BA"/>
    <w:rsid w:val="006F72DA"/>
    <w:rsid w:val="00705007"/>
    <w:rsid w:val="00710DF4"/>
    <w:rsid w:val="00713810"/>
    <w:rsid w:val="00713F33"/>
    <w:rsid w:val="00716CB1"/>
    <w:rsid w:val="00726DFC"/>
    <w:rsid w:val="0073280F"/>
    <w:rsid w:val="00757CFC"/>
    <w:rsid w:val="00761E9E"/>
    <w:rsid w:val="00775912"/>
    <w:rsid w:val="00776D06"/>
    <w:rsid w:val="007870A5"/>
    <w:rsid w:val="007A7C16"/>
    <w:rsid w:val="007B20BC"/>
    <w:rsid w:val="007C2D3E"/>
    <w:rsid w:val="007D7AC3"/>
    <w:rsid w:val="007E66EC"/>
    <w:rsid w:val="007E762F"/>
    <w:rsid w:val="007F0B1B"/>
    <w:rsid w:val="007F7E64"/>
    <w:rsid w:val="00813D79"/>
    <w:rsid w:val="008276FC"/>
    <w:rsid w:val="00836A58"/>
    <w:rsid w:val="00840DCF"/>
    <w:rsid w:val="00846B27"/>
    <w:rsid w:val="00851B1A"/>
    <w:rsid w:val="00851EB3"/>
    <w:rsid w:val="00857F5E"/>
    <w:rsid w:val="00862E58"/>
    <w:rsid w:val="00870E05"/>
    <w:rsid w:val="00876829"/>
    <w:rsid w:val="008922C1"/>
    <w:rsid w:val="008966D7"/>
    <w:rsid w:val="008A1078"/>
    <w:rsid w:val="008A147F"/>
    <w:rsid w:val="008A4C48"/>
    <w:rsid w:val="008A62DE"/>
    <w:rsid w:val="008B0C20"/>
    <w:rsid w:val="008B65C8"/>
    <w:rsid w:val="008C0269"/>
    <w:rsid w:val="008C2449"/>
    <w:rsid w:val="008D415D"/>
    <w:rsid w:val="008F1CBB"/>
    <w:rsid w:val="008F2CDD"/>
    <w:rsid w:val="009067FC"/>
    <w:rsid w:val="00906ADA"/>
    <w:rsid w:val="00913BAC"/>
    <w:rsid w:val="00914F1D"/>
    <w:rsid w:val="00923784"/>
    <w:rsid w:val="00952686"/>
    <w:rsid w:val="00952B5F"/>
    <w:rsid w:val="009677A6"/>
    <w:rsid w:val="00980481"/>
    <w:rsid w:val="0099752D"/>
    <w:rsid w:val="009A2DA3"/>
    <w:rsid w:val="009A7739"/>
    <w:rsid w:val="009B3436"/>
    <w:rsid w:val="009B3E74"/>
    <w:rsid w:val="009B7B39"/>
    <w:rsid w:val="009C3C57"/>
    <w:rsid w:val="009C5072"/>
    <w:rsid w:val="009D1FD2"/>
    <w:rsid w:val="009D39C8"/>
    <w:rsid w:val="009D40B3"/>
    <w:rsid w:val="009D46E5"/>
    <w:rsid w:val="009E2539"/>
    <w:rsid w:val="009E6B8E"/>
    <w:rsid w:val="009F02F2"/>
    <w:rsid w:val="009F03D1"/>
    <w:rsid w:val="00A06FF3"/>
    <w:rsid w:val="00A15F50"/>
    <w:rsid w:val="00A22E4E"/>
    <w:rsid w:val="00A248A4"/>
    <w:rsid w:val="00A43986"/>
    <w:rsid w:val="00A43BD3"/>
    <w:rsid w:val="00A469D7"/>
    <w:rsid w:val="00A47A6F"/>
    <w:rsid w:val="00A526D3"/>
    <w:rsid w:val="00A71F50"/>
    <w:rsid w:val="00AA08A3"/>
    <w:rsid w:val="00AD3D08"/>
    <w:rsid w:val="00AE6C6A"/>
    <w:rsid w:val="00AF2592"/>
    <w:rsid w:val="00B05845"/>
    <w:rsid w:val="00B10EAC"/>
    <w:rsid w:val="00B14994"/>
    <w:rsid w:val="00B23796"/>
    <w:rsid w:val="00B2630A"/>
    <w:rsid w:val="00B331DC"/>
    <w:rsid w:val="00B3454B"/>
    <w:rsid w:val="00B35AD2"/>
    <w:rsid w:val="00B40831"/>
    <w:rsid w:val="00B5215B"/>
    <w:rsid w:val="00B64A2B"/>
    <w:rsid w:val="00B6775A"/>
    <w:rsid w:val="00B778FB"/>
    <w:rsid w:val="00B9000F"/>
    <w:rsid w:val="00B914AA"/>
    <w:rsid w:val="00BA7B46"/>
    <w:rsid w:val="00BB7E6E"/>
    <w:rsid w:val="00BD77AA"/>
    <w:rsid w:val="00BE3BC2"/>
    <w:rsid w:val="00BE6111"/>
    <w:rsid w:val="00BF0AE2"/>
    <w:rsid w:val="00BF44E3"/>
    <w:rsid w:val="00C00775"/>
    <w:rsid w:val="00C01785"/>
    <w:rsid w:val="00C02C49"/>
    <w:rsid w:val="00C034FC"/>
    <w:rsid w:val="00C06609"/>
    <w:rsid w:val="00C17566"/>
    <w:rsid w:val="00C17C50"/>
    <w:rsid w:val="00C25A5D"/>
    <w:rsid w:val="00C32820"/>
    <w:rsid w:val="00C35E37"/>
    <w:rsid w:val="00C37B6B"/>
    <w:rsid w:val="00C452AB"/>
    <w:rsid w:val="00C455AD"/>
    <w:rsid w:val="00C457B2"/>
    <w:rsid w:val="00C563C4"/>
    <w:rsid w:val="00C610A4"/>
    <w:rsid w:val="00C6318B"/>
    <w:rsid w:val="00C63593"/>
    <w:rsid w:val="00C71F1E"/>
    <w:rsid w:val="00C73744"/>
    <w:rsid w:val="00C9468F"/>
    <w:rsid w:val="00CA495D"/>
    <w:rsid w:val="00CA5474"/>
    <w:rsid w:val="00CC6FFB"/>
    <w:rsid w:val="00CD485E"/>
    <w:rsid w:val="00CE0927"/>
    <w:rsid w:val="00CF24E8"/>
    <w:rsid w:val="00CF5E63"/>
    <w:rsid w:val="00D0204F"/>
    <w:rsid w:val="00D10DEC"/>
    <w:rsid w:val="00D12669"/>
    <w:rsid w:val="00D272AA"/>
    <w:rsid w:val="00D27E95"/>
    <w:rsid w:val="00D40981"/>
    <w:rsid w:val="00D446B5"/>
    <w:rsid w:val="00D60FA7"/>
    <w:rsid w:val="00D7443A"/>
    <w:rsid w:val="00D86C57"/>
    <w:rsid w:val="00D92F5E"/>
    <w:rsid w:val="00D948F2"/>
    <w:rsid w:val="00DA6F03"/>
    <w:rsid w:val="00DA7056"/>
    <w:rsid w:val="00DC3E15"/>
    <w:rsid w:val="00DC4CB1"/>
    <w:rsid w:val="00DD35F9"/>
    <w:rsid w:val="00DF6CEF"/>
    <w:rsid w:val="00E01D81"/>
    <w:rsid w:val="00E07A54"/>
    <w:rsid w:val="00E14008"/>
    <w:rsid w:val="00E15898"/>
    <w:rsid w:val="00E22B80"/>
    <w:rsid w:val="00E43358"/>
    <w:rsid w:val="00E44582"/>
    <w:rsid w:val="00E550B8"/>
    <w:rsid w:val="00E809ED"/>
    <w:rsid w:val="00E97894"/>
    <w:rsid w:val="00E97921"/>
    <w:rsid w:val="00EA4884"/>
    <w:rsid w:val="00EB305C"/>
    <w:rsid w:val="00EC1D88"/>
    <w:rsid w:val="00EC37CA"/>
    <w:rsid w:val="00ED38FB"/>
    <w:rsid w:val="00EE0FF9"/>
    <w:rsid w:val="00EE2278"/>
    <w:rsid w:val="00EF0352"/>
    <w:rsid w:val="00EF060D"/>
    <w:rsid w:val="00EF06B3"/>
    <w:rsid w:val="00F0639C"/>
    <w:rsid w:val="00F1007F"/>
    <w:rsid w:val="00F156D7"/>
    <w:rsid w:val="00F312EF"/>
    <w:rsid w:val="00F325E7"/>
    <w:rsid w:val="00F32775"/>
    <w:rsid w:val="00F33848"/>
    <w:rsid w:val="00F40147"/>
    <w:rsid w:val="00F43790"/>
    <w:rsid w:val="00F452AB"/>
    <w:rsid w:val="00F559A1"/>
    <w:rsid w:val="00F66C32"/>
    <w:rsid w:val="00F71A8E"/>
    <w:rsid w:val="00F81AAF"/>
    <w:rsid w:val="00FB2981"/>
    <w:rsid w:val="00FB4EAA"/>
    <w:rsid w:val="00FC34F1"/>
    <w:rsid w:val="00FC41A9"/>
    <w:rsid w:val="00FC6F4D"/>
    <w:rsid w:val="00FD544F"/>
    <w:rsid w:val="00FE5736"/>
    <w:rsid w:val="00FE6697"/>
    <w:rsid w:val="00FE793D"/>
    <w:rsid w:val="00FF31A0"/>
    <w:rsid w:val="00FF3305"/>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316E7B9"/>
  <w15:chartTrackingRefBased/>
  <w15:docId w15:val="{B61EE786-A185-4CAD-AE06-2FF0BE0E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51EB3"/>
    <w:pPr>
      <w:keepNext/>
      <w:keepLines/>
      <w:spacing w:before="40" w:after="0"/>
      <w:outlineLvl w:val="1"/>
    </w:pPr>
    <w:rPr>
      <w:rFonts w:eastAsiaTheme="majorEastAsia" w:cstheme="majorBidi"/>
      <w:i/>
      <w:color w:val="365F91" w:themeColor="accent1" w:themeShade="BF"/>
      <w:szCs w:val="26"/>
    </w:rPr>
  </w:style>
  <w:style w:type="paragraph" w:styleId="Heading3">
    <w:name w:val="heading 3"/>
    <w:basedOn w:val="Normal"/>
    <w:next w:val="Normal"/>
    <w:link w:val="Heading3Char"/>
    <w:uiPriority w:val="9"/>
    <w:semiHidden/>
    <w:unhideWhenUsed/>
    <w:qFormat/>
    <w:rsid w:val="00851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20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51EB3"/>
    <w:rPr>
      <w:rFonts w:eastAsiaTheme="majorEastAsia" w:cstheme="majorBidi"/>
      <w:i/>
      <w:color w:val="365F91" w:themeColor="accent1" w:themeShade="BF"/>
      <w:szCs w:val="26"/>
    </w:rPr>
  </w:style>
  <w:style w:type="character" w:customStyle="1" w:styleId="Heading3Char">
    <w:name w:val="Heading 3 Char"/>
    <w:basedOn w:val="DefaultParagraphFont"/>
    <w:link w:val="Heading3"/>
    <w:uiPriority w:val="9"/>
    <w:rsid w:val="00851EB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51EB3"/>
    <w:pPr>
      <w:ind w:left="720"/>
      <w:contextualSpacing/>
    </w:pPr>
  </w:style>
  <w:style w:type="paragraph" w:styleId="BodyText">
    <w:name w:val="Body Text"/>
    <w:basedOn w:val="Normal"/>
    <w:link w:val="BodyTextChar"/>
    <w:uiPriority w:val="1"/>
    <w:qFormat/>
    <w:rsid w:val="006B04F3"/>
    <w:pPr>
      <w:autoSpaceDE w:val="0"/>
      <w:autoSpaceDN w:val="0"/>
      <w:adjustRightInd w:val="0"/>
      <w:spacing w:after="0" w:line="269" w:lineRule="exact"/>
      <w:ind w:left="676" w:hanging="216"/>
    </w:pPr>
    <w:rPr>
      <w:rFonts w:ascii="Times New Roman" w:hAnsi="Times New Roman" w:cs="Times New Roman"/>
    </w:rPr>
  </w:style>
  <w:style w:type="character" w:customStyle="1" w:styleId="BodyTextChar">
    <w:name w:val="Body Text Char"/>
    <w:basedOn w:val="DefaultParagraphFont"/>
    <w:link w:val="BodyText"/>
    <w:uiPriority w:val="1"/>
    <w:rsid w:val="006B04F3"/>
    <w:rPr>
      <w:rFonts w:ascii="Times New Roman" w:hAnsi="Times New Roman" w:cs="Times New Roman"/>
    </w:rPr>
  </w:style>
  <w:style w:type="paragraph" w:styleId="BalloonText">
    <w:name w:val="Balloon Text"/>
    <w:basedOn w:val="Normal"/>
    <w:link w:val="BalloonTextChar"/>
    <w:uiPriority w:val="99"/>
    <w:semiHidden/>
    <w:unhideWhenUsed/>
    <w:rsid w:val="00C03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4FC"/>
    <w:rPr>
      <w:rFonts w:ascii="Segoe UI" w:hAnsi="Segoe UI" w:cs="Segoe UI"/>
      <w:sz w:val="18"/>
      <w:szCs w:val="18"/>
    </w:rPr>
  </w:style>
  <w:style w:type="character" w:styleId="CommentReference">
    <w:name w:val="annotation reference"/>
    <w:basedOn w:val="DefaultParagraphFont"/>
    <w:uiPriority w:val="99"/>
    <w:semiHidden/>
    <w:unhideWhenUsed/>
    <w:rsid w:val="000066BB"/>
    <w:rPr>
      <w:sz w:val="16"/>
      <w:szCs w:val="16"/>
    </w:rPr>
  </w:style>
  <w:style w:type="paragraph" w:styleId="CommentText">
    <w:name w:val="annotation text"/>
    <w:basedOn w:val="Normal"/>
    <w:link w:val="CommentTextChar"/>
    <w:uiPriority w:val="99"/>
    <w:semiHidden/>
    <w:unhideWhenUsed/>
    <w:rsid w:val="000066BB"/>
    <w:pPr>
      <w:spacing w:line="240" w:lineRule="auto"/>
    </w:pPr>
    <w:rPr>
      <w:sz w:val="20"/>
      <w:szCs w:val="20"/>
    </w:rPr>
  </w:style>
  <w:style w:type="character" w:customStyle="1" w:styleId="CommentTextChar">
    <w:name w:val="Comment Text Char"/>
    <w:basedOn w:val="DefaultParagraphFont"/>
    <w:link w:val="CommentText"/>
    <w:uiPriority w:val="99"/>
    <w:semiHidden/>
    <w:rsid w:val="000066BB"/>
    <w:rPr>
      <w:sz w:val="20"/>
      <w:szCs w:val="20"/>
    </w:rPr>
  </w:style>
  <w:style w:type="paragraph" w:styleId="CommentSubject">
    <w:name w:val="annotation subject"/>
    <w:basedOn w:val="CommentText"/>
    <w:next w:val="CommentText"/>
    <w:link w:val="CommentSubjectChar"/>
    <w:uiPriority w:val="99"/>
    <w:semiHidden/>
    <w:unhideWhenUsed/>
    <w:rsid w:val="000066BB"/>
    <w:rPr>
      <w:b/>
      <w:bCs/>
    </w:rPr>
  </w:style>
  <w:style w:type="character" w:customStyle="1" w:styleId="CommentSubjectChar">
    <w:name w:val="Comment Subject Char"/>
    <w:basedOn w:val="CommentTextChar"/>
    <w:link w:val="CommentSubject"/>
    <w:uiPriority w:val="99"/>
    <w:semiHidden/>
    <w:rsid w:val="000066BB"/>
    <w:rPr>
      <w:b/>
      <w:bCs/>
      <w:sz w:val="20"/>
      <w:szCs w:val="20"/>
    </w:rPr>
  </w:style>
  <w:style w:type="paragraph" w:styleId="Header">
    <w:name w:val="header"/>
    <w:basedOn w:val="Normal"/>
    <w:link w:val="HeaderChar"/>
    <w:unhideWhenUsed/>
    <w:rsid w:val="0078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A5"/>
  </w:style>
  <w:style w:type="paragraph" w:styleId="Footer">
    <w:name w:val="footer"/>
    <w:basedOn w:val="Normal"/>
    <w:link w:val="FooterChar"/>
    <w:unhideWhenUsed/>
    <w:rsid w:val="0078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A5"/>
  </w:style>
  <w:style w:type="character" w:styleId="PageNumber">
    <w:name w:val="page number"/>
    <w:basedOn w:val="DefaultParagraphFont"/>
    <w:rsid w:val="007870A5"/>
  </w:style>
  <w:style w:type="paragraph" w:styleId="Revision">
    <w:name w:val="Revision"/>
    <w:hidden/>
    <w:uiPriority w:val="99"/>
    <w:semiHidden/>
    <w:rsid w:val="00E01D81"/>
    <w:pPr>
      <w:spacing w:after="0" w:line="240" w:lineRule="auto"/>
    </w:pPr>
  </w:style>
  <w:style w:type="character" w:styleId="Hyperlink">
    <w:name w:val="Hyperlink"/>
    <w:basedOn w:val="DefaultParagraphFont"/>
    <w:uiPriority w:val="99"/>
    <w:unhideWhenUsed/>
    <w:rsid w:val="00E14008"/>
    <w:rPr>
      <w:color w:val="0000FF" w:themeColor="hyperlink"/>
      <w:u w:val="single"/>
    </w:rPr>
  </w:style>
  <w:style w:type="table" w:styleId="GridTable4-Accent1">
    <w:name w:val="Grid Table 4 Accent 1"/>
    <w:basedOn w:val="TableNormal"/>
    <w:uiPriority w:val="49"/>
    <w:rsid w:val="0048156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0sp05">
    <w:name w:val="_1.0sp 0.5&quot;"/>
    <w:basedOn w:val="Normal"/>
    <w:rsid w:val="003A11CF"/>
    <w:pPr>
      <w:suppressAutoHyphens/>
      <w:spacing w:after="240" w:line="240" w:lineRule="auto"/>
      <w:ind w:firstLine="720"/>
    </w:pPr>
    <w:rPr>
      <w:rFonts w:ascii="Times New Roman" w:eastAsia="SimSun" w:hAnsi="Times New Roman" w:cs="Times New Roman"/>
      <w:sz w:val="24"/>
      <w:szCs w:val="20"/>
    </w:rPr>
  </w:style>
  <w:style w:type="paragraph" w:customStyle="1" w:styleId="Level1">
    <w:name w:val="Level 1"/>
    <w:basedOn w:val="Normal"/>
    <w:next w:val="10sp05"/>
    <w:rsid w:val="003A11CF"/>
    <w:pPr>
      <w:numPr>
        <w:numId w:val="10"/>
      </w:numPr>
      <w:suppressAutoHyphens/>
      <w:spacing w:after="240" w:line="240" w:lineRule="auto"/>
      <w:outlineLvl w:val="0"/>
    </w:pPr>
    <w:rPr>
      <w:rFonts w:ascii="Times New Roman" w:eastAsia="SimSun" w:hAnsi="Times New Roman" w:cs="Times New Roman"/>
      <w:sz w:val="24"/>
      <w:szCs w:val="20"/>
      <w:u w:val="single"/>
    </w:rPr>
  </w:style>
  <w:style w:type="paragraph" w:customStyle="1" w:styleId="Level2">
    <w:name w:val="Level 2"/>
    <w:basedOn w:val="Normal"/>
    <w:next w:val="10sp05"/>
    <w:rsid w:val="003A11CF"/>
    <w:pPr>
      <w:numPr>
        <w:ilvl w:val="1"/>
        <w:numId w:val="10"/>
      </w:numPr>
      <w:suppressAutoHyphens/>
      <w:spacing w:after="240" w:line="240" w:lineRule="auto"/>
      <w:outlineLvl w:val="1"/>
    </w:pPr>
    <w:rPr>
      <w:rFonts w:ascii="Times New Roman" w:eastAsia="SimSun" w:hAnsi="Times New Roman" w:cs="Times New Roman"/>
      <w:sz w:val="24"/>
      <w:szCs w:val="20"/>
      <w:u w:val="single"/>
    </w:rPr>
  </w:style>
  <w:style w:type="paragraph" w:customStyle="1" w:styleId="Level3">
    <w:name w:val="Level 3"/>
    <w:basedOn w:val="Normal"/>
    <w:next w:val="10sp05"/>
    <w:rsid w:val="003A11CF"/>
    <w:pPr>
      <w:numPr>
        <w:ilvl w:val="2"/>
        <w:numId w:val="10"/>
      </w:numPr>
      <w:suppressAutoHyphens/>
      <w:spacing w:after="240" w:line="240" w:lineRule="auto"/>
      <w:outlineLvl w:val="2"/>
    </w:pPr>
    <w:rPr>
      <w:rFonts w:ascii="Times New Roman" w:eastAsia="SimSun" w:hAnsi="Times New Roman" w:cs="Times New Roman"/>
      <w:sz w:val="24"/>
      <w:szCs w:val="20"/>
      <w:u w:val="single"/>
    </w:rPr>
  </w:style>
  <w:style w:type="paragraph" w:customStyle="1" w:styleId="Level4">
    <w:name w:val="Level 4"/>
    <w:basedOn w:val="Normal"/>
    <w:next w:val="10sp05"/>
    <w:rsid w:val="003A11CF"/>
    <w:pPr>
      <w:numPr>
        <w:ilvl w:val="3"/>
        <w:numId w:val="10"/>
      </w:numPr>
      <w:suppressAutoHyphens/>
      <w:spacing w:after="240" w:line="240" w:lineRule="auto"/>
      <w:outlineLvl w:val="3"/>
    </w:pPr>
    <w:rPr>
      <w:rFonts w:ascii="Times New Roman" w:eastAsia="SimSun" w:hAnsi="Times New Roman" w:cs="Times New Roman"/>
      <w:sz w:val="24"/>
      <w:szCs w:val="20"/>
      <w:u w:val="single"/>
    </w:rPr>
  </w:style>
  <w:style w:type="paragraph" w:customStyle="1" w:styleId="Level5">
    <w:name w:val="Level 5"/>
    <w:basedOn w:val="Normal"/>
    <w:next w:val="10sp05"/>
    <w:rsid w:val="003A11CF"/>
    <w:pPr>
      <w:numPr>
        <w:ilvl w:val="4"/>
        <w:numId w:val="10"/>
      </w:numPr>
      <w:suppressAutoHyphens/>
      <w:spacing w:after="240" w:line="240" w:lineRule="auto"/>
      <w:outlineLvl w:val="4"/>
    </w:pPr>
    <w:rPr>
      <w:rFonts w:ascii="Times New Roman" w:eastAsia="SimSun" w:hAnsi="Times New Roman" w:cs="Times New Roman"/>
      <w:sz w:val="24"/>
      <w:szCs w:val="20"/>
    </w:rPr>
  </w:style>
  <w:style w:type="paragraph" w:customStyle="1" w:styleId="Level6">
    <w:name w:val="Level 6"/>
    <w:basedOn w:val="Normal"/>
    <w:next w:val="10sp05"/>
    <w:rsid w:val="003A11CF"/>
    <w:pPr>
      <w:numPr>
        <w:ilvl w:val="5"/>
        <w:numId w:val="10"/>
      </w:numPr>
      <w:suppressAutoHyphens/>
      <w:spacing w:after="240" w:line="240" w:lineRule="auto"/>
      <w:outlineLvl w:val="5"/>
    </w:pPr>
    <w:rPr>
      <w:rFonts w:ascii="Times New Roman" w:eastAsia="SimSun" w:hAnsi="Times New Roman" w:cs="Times New Roman"/>
      <w:sz w:val="24"/>
      <w:szCs w:val="20"/>
    </w:rPr>
  </w:style>
  <w:style w:type="paragraph" w:customStyle="1" w:styleId="Level7">
    <w:name w:val="Level 7"/>
    <w:basedOn w:val="Normal"/>
    <w:next w:val="10sp05"/>
    <w:rsid w:val="003A11CF"/>
    <w:pPr>
      <w:numPr>
        <w:ilvl w:val="6"/>
        <w:numId w:val="10"/>
      </w:numPr>
      <w:suppressAutoHyphens/>
      <w:spacing w:after="240" w:line="240" w:lineRule="auto"/>
      <w:outlineLvl w:val="6"/>
    </w:pPr>
    <w:rPr>
      <w:rFonts w:ascii="Times New Roman" w:eastAsia="SimSun" w:hAnsi="Times New Roman" w:cs="Times New Roman"/>
      <w:sz w:val="24"/>
      <w:szCs w:val="20"/>
    </w:rPr>
  </w:style>
  <w:style w:type="paragraph" w:customStyle="1" w:styleId="Level8">
    <w:name w:val="Level 8"/>
    <w:basedOn w:val="Normal"/>
    <w:next w:val="10sp05"/>
    <w:rsid w:val="003A11CF"/>
    <w:pPr>
      <w:numPr>
        <w:ilvl w:val="7"/>
        <w:numId w:val="10"/>
      </w:numPr>
      <w:suppressAutoHyphens/>
      <w:spacing w:after="240" w:line="240" w:lineRule="auto"/>
      <w:outlineLvl w:val="7"/>
    </w:pPr>
    <w:rPr>
      <w:rFonts w:ascii="Times New Roman" w:eastAsia="SimSun" w:hAnsi="Times New Roman" w:cs="Times New Roman"/>
      <w:sz w:val="24"/>
      <w:szCs w:val="20"/>
    </w:rPr>
  </w:style>
  <w:style w:type="paragraph" w:customStyle="1" w:styleId="Level9">
    <w:name w:val="Level 9"/>
    <w:basedOn w:val="Normal"/>
    <w:next w:val="10sp05"/>
    <w:rsid w:val="003A11CF"/>
    <w:pPr>
      <w:numPr>
        <w:ilvl w:val="8"/>
        <w:numId w:val="10"/>
      </w:numPr>
      <w:suppressAutoHyphens/>
      <w:spacing w:after="240" w:line="240" w:lineRule="auto"/>
      <w:outlineLvl w:val="8"/>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090B7-DF97-4B88-90B5-4446572C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5053</Words>
  <Characters>28805</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Blaisdell</dc:creator>
  <cp:keywords/>
  <dc:description/>
  <cp:lastModifiedBy>Megan Howard</cp:lastModifiedBy>
  <cp:revision>2</cp:revision>
  <cp:lastPrinted>2019-06-12T21:30:00Z</cp:lastPrinted>
  <dcterms:created xsi:type="dcterms:W3CDTF">2019-06-21T14:41:00Z</dcterms:created>
  <dcterms:modified xsi:type="dcterms:W3CDTF">2019-06-21T14:41:00Z</dcterms:modified>
</cp:coreProperties>
</file>