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C490" w14:textId="046766E3" w:rsidR="0075597C" w:rsidRPr="003405C8" w:rsidRDefault="0F466105" w:rsidP="00FB70EA">
      <w:pP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  <w:r w:rsidRPr="77BB61B1">
        <w:rPr>
          <w:rFonts w:asciiTheme="minorHAnsi" w:hAnsiTheme="minorHAnsi" w:cstheme="minorBidi"/>
          <w:sz w:val="22"/>
          <w:szCs w:val="22"/>
          <w:highlight w:val="yellow"/>
        </w:rPr>
        <w:t>Place on hospital/system letterhead.</w:t>
      </w:r>
    </w:p>
    <w:p w14:paraId="2662F69D" w14:textId="77777777" w:rsidR="004E42F8" w:rsidRDefault="004E42F8" w:rsidP="00FB70E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9718AC" w14:textId="02929FCD" w:rsidR="77BB61B1" w:rsidRDefault="77BB61B1" w:rsidP="000F0E0C">
      <w:pPr>
        <w:pStyle w:val="BodyText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</w:p>
    <w:p w14:paraId="7525AA6D" w14:textId="113624AB" w:rsidR="77BB61B1" w:rsidRDefault="77BB61B1" w:rsidP="000F0E0C">
      <w:pPr>
        <w:pStyle w:val="BodyText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</w:p>
    <w:p w14:paraId="47634DEA" w14:textId="68EAFEB3" w:rsidR="0F466105" w:rsidRDefault="009F498C" w:rsidP="000F0E0C">
      <w:pPr>
        <w:pStyle w:val="BodyText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  <w:proofErr w:type="gramStart"/>
      <w:r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June</w:t>
      </w:r>
      <w:r w:rsidR="0F466105" w:rsidRPr="77BB61B1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 xml:space="preserve"> </w:t>
      </w:r>
      <w:r w:rsidR="0F466105" w:rsidRPr="00362F2D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  <w:highlight w:val="yellow"/>
        </w:rPr>
        <w:t>xx</w:t>
      </w:r>
      <w:r w:rsidR="0F466105" w:rsidRPr="77BB61B1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,</w:t>
      </w:r>
      <w:proofErr w:type="gramEnd"/>
      <w:r w:rsidR="0F466105" w:rsidRPr="77BB61B1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 xml:space="preserve"> 2025</w:t>
      </w:r>
    </w:p>
    <w:p w14:paraId="05A9A342" w14:textId="4EF20884" w:rsidR="77BB61B1" w:rsidRDefault="77BB61B1" w:rsidP="00FB70EA">
      <w:pPr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07D0BB2C" w14:textId="6025C238" w:rsidR="00362F2D" w:rsidRDefault="00362F2D" w:rsidP="00FB70EA">
      <w:pPr>
        <w:widowControl w:val="0"/>
        <w:autoSpaceDE w:val="0"/>
        <w:autoSpaceDN w:val="0"/>
        <w:rPr>
          <w:rFonts w:ascii="Seaford" w:eastAsia="Seaford" w:hAnsi="Seaford" w:cs="Seaford"/>
          <w:sz w:val="22"/>
          <w:szCs w:val="22"/>
        </w:rPr>
      </w:pPr>
      <w:r>
        <w:rPr>
          <w:rFonts w:ascii="Seaford" w:eastAsia="Seaford" w:hAnsi="Seaford" w:cs="Seaford"/>
          <w:sz w:val="22"/>
          <w:szCs w:val="22"/>
        </w:rPr>
        <w:t>The</w:t>
      </w:r>
      <w:r>
        <w:rPr>
          <w:rFonts w:ascii="Seaford" w:eastAsia="Seaford" w:hAnsi="Seaford" w:cs="Seaford"/>
          <w:spacing w:val="-7"/>
          <w:sz w:val="22"/>
          <w:szCs w:val="22"/>
        </w:rPr>
        <w:t xml:space="preserve"> </w:t>
      </w:r>
      <w:r>
        <w:rPr>
          <w:rFonts w:ascii="Seaford" w:eastAsia="Seaford" w:hAnsi="Seaford" w:cs="Seaford"/>
          <w:sz w:val="22"/>
          <w:szCs w:val="22"/>
        </w:rPr>
        <w:t xml:space="preserve">Honorable </w:t>
      </w:r>
      <w:r w:rsidR="009F498C">
        <w:rPr>
          <w:rFonts w:ascii="Seaford" w:eastAsia="Seaford" w:hAnsi="Seaford" w:cs="Seaford"/>
          <w:sz w:val="22"/>
          <w:szCs w:val="22"/>
        </w:rPr>
        <w:t>Lisa Calderon</w:t>
      </w:r>
    </w:p>
    <w:p w14:paraId="4892EDAC" w14:textId="635A7C5A" w:rsidR="6E00F265" w:rsidRDefault="6E00F265" w:rsidP="7DA28CC0">
      <w:pPr>
        <w:widowControl w:val="0"/>
        <w:rPr>
          <w:rFonts w:ascii="Seaford" w:eastAsia="Seaford" w:hAnsi="Seaford" w:cs="Seaford"/>
          <w:sz w:val="22"/>
          <w:szCs w:val="22"/>
        </w:rPr>
      </w:pPr>
      <w:r w:rsidRPr="24A9E439">
        <w:rPr>
          <w:rFonts w:ascii="Seaford" w:eastAsia="Seaford" w:hAnsi="Seaford" w:cs="Seaford"/>
          <w:sz w:val="22"/>
          <w:szCs w:val="22"/>
        </w:rPr>
        <w:t>Chair, Assembly Committee on Insurance</w:t>
      </w:r>
    </w:p>
    <w:p w14:paraId="6DA93BF5" w14:textId="5DD3B155" w:rsidR="00362F2D" w:rsidRDefault="00362F2D" w:rsidP="00FB70EA">
      <w:pPr>
        <w:widowControl w:val="0"/>
        <w:autoSpaceDE w:val="0"/>
        <w:autoSpaceDN w:val="0"/>
        <w:ind w:right="5040"/>
        <w:rPr>
          <w:rFonts w:ascii="Seaford" w:eastAsia="Seaford" w:hAnsi="Seaford" w:cs="Seaford"/>
          <w:sz w:val="22"/>
          <w:szCs w:val="22"/>
        </w:rPr>
      </w:pPr>
      <w:r>
        <w:rPr>
          <w:rFonts w:ascii="Seaford" w:eastAsia="Seaford" w:hAnsi="Seaford" w:cs="Seaford"/>
          <w:sz w:val="22"/>
          <w:szCs w:val="22"/>
        </w:rPr>
        <w:t>102</w:t>
      </w:r>
      <w:r w:rsidR="009F498C">
        <w:rPr>
          <w:rFonts w:ascii="Seaford" w:eastAsia="Seaford" w:hAnsi="Seaford" w:cs="Seaford"/>
          <w:sz w:val="22"/>
          <w:szCs w:val="22"/>
        </w:rPr>
        <w:t>0</w:t>
      </w:r>
      <w:r>
        <w:rPr>
          <w:rFonts w:ascii="Seaford" w:eastAsia="Seaford" w:hAnsi="Seaford" w:cs="Seaford"/>
          <w:sz w:val="22"/>
          <w:szCs w:val="22"/>
        </w:rPr>
        <w:t xml:space="preserve"> </w:t>
      </w:r>
      <w:r w:rsidR="009F498C">
        <w:rPr>
          <w:rFonts w:ascii="Seaford" w:eastAsia="Seaford" w:hAnsi="Seaford" w:cs="Seaford"/>
          <w:sz w:val="22"/>
          <w:szCs w:val="22"/>
        </w:rPr>
        <w:t>N</w:t>
      </w:r>
      <w:r>
        <w:rPr>
          <w:rFonts w:ascii="Seaford" w:eastAsia="Seaford" w:hAnsi="Seaford" w:cs="Seaford"/>
          <w:sz w:val="22"/>
          <w:szCs w:val="22"/>
        </w:rPr>
        <w:t xml:space="preserve"> Street, </w:t>
      </w:r>
      <w:r w:rsidR="009F498C">
        <w:rPr>
          <w:rFonts w:ascii="Seaford" w:eastAsia="Seaford" w:hAnsi="Seaford" w:cs="Seaford"/>
          <w:sz w:val="22"/>
          <w:szCs w:val="22"/>
        </w:rPr>
        <w:t>Room 369</w:t>
      </w:r>
    </w:p>
    <w:p w14:paraId="106E0FF5" w14:textId="77777777" w:rsidR="00362F2D" w:rsidRDefault="00362F2D" w:rsidP="00FB70EA">
      <w:pPr>
        <w:widowControl w:val="0"/>
        <w:autoSpaceDE w:val="0"/>
        <w:autoSpaceDN w:val="0"/>
        <w:rPr>
          <w:rFonts w:ascii="Seaford" w:eastAsia="Seaford" w:hAnsi="Seaford" w:cs="Seaford"/>
          <w:spacing w:val="-4"/>
          <w:sz w:val="22"/>
          <w:szCs w:val="22"/>
        </w:rPr>
      </w:pPr>
      <w:r>
        <w:rPr>
          <w:rFonts w:ascii="Seaford" w:eastAsia="Seaford" w:hAnsi="Seaford" w:cs="Seaford"/>
          <w:sz w:val="22"/>
          <w:szCs w:val="22"/>
        </w:rPr>
        <w:t>Sacramento,</w:t>
      </w:r>
      <w:r>
        <w:rPr>
          <w:rFonts w:ascii="Seaford" w:eastAsia="Seaford" w:hAnsi="Seaford" w:cs="Seaford"/>
          <w:spacing w:val="-8"/>
          <w:sz w:val="22"/>
          <w:szCs w:val="22"/>
        </w:rPr>
        <w:t xml:space="preserve"> </w:t>
      </w:r>
      <w:r>
        <w:rPr>
          <w:rFonts w:ascii="Seaford" w:eastAsia="Seaford" w:hAnsi="Seaford" w:cs="Seaford"/>
          <w:sz w:val="22"/>
          <w:szCs w:val="22"/>
        </w:rPr>
        <w:t>CA</w:t>
      </w:r>
      <w:r>
        <w:rPr>
          <w:rFonts w:ascii="Seaford" w:eastAsia="Seaford" w:hAnsi="Seaford" w:cs="Seaford"/>
          <w:spacing w:val="-5"/>
          <w:sz w:val="22"/>
          <w:szCs w:val="22"/>
        </w:rPr>
        <w:t xml:space="preserve"> </w:t>
      </w:r>
      <w:r>
        <w:rPr>
          <w:rFonts w:ascii="Seaford" w:eastAsia="Seaford" w:hAnsi="Seaford" w:cs="Seaford"/>
          <w:spacing w:val="-4"/>
          <w:sz w:val="22"/>
          <w:szCs w:val="22"/>
        </w:rPr>
        <w:t>95814</w:t>
      </w:r>
    </w:p>
    <w:p w14:paraId="44D28926" w14:textId="77777777" w:rsidR="00FB70EA" w:rsidRDefault="00FB70EA" w:rsidP="00FB70EA">
      <w:pPr>
        <w:widowControl w:val="0"/>
        <w:autoSpaceDE w:val="0"/>
        <w:autoSpaceDN w:val="0"/>
        <w:rPr>
          <w:rFonts w:ascii="Seaford" w:eastAsia="Seaford" w:hAnsi="Seaford" w:cs="Seaford"/>
          <w:spacing w:val="-4"/>
          <w:sz w:val="22"/>
          <w:szCs w:val="22"/>
        </w:rPr>
      </w:pPr>
    </w:p>
    <w:p w14:paraId="481FBEE7" w14:textId="3E44EFC3" w:rsidR="77BB61B1" w:rsidRDefault="0F466105" w:rsidP="00FB70EA">
      <w:pPr>
        <w:tabs>
          <w:tab w:val="left" w:pos="1540"/>
        </w:tabs>
        <w:ind w:right="920"/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</w:pPr>
      <w:r w:rsidRPr="77BB61B1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SUBJECT:</w:t>
      </w:r>
      <w:r>
        <w:tab/>
      </w:r>
      <w:r w:rsidRPr="77BB61B1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SB 632 (</w:t>
      </w:r>
      <w:proofErr w:type="spellStart"/>
      <w:r w:rsidRPr="77BB61B1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Arreguín</w:t>
      </w:r>
      <w:proofErr w:type="spellEnd"/>
      <w:r w:rsidRPr="77BB61B1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) </w:t>
      </w:r>
      <w:r w:rsidR="00067F39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—</w:t>
      </w:r>
      <w:r w:rsidRPr="77BB61B1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 Oppose</w:t>
      </w:r>
    </w:p>
    <w:p w14:paraId="208B8AF8" w14:textId="77777777" w:rsidR="00FB70EA" w:rsidRDefault="00FB70EA" w:rsidP="000F0E0C">
      <w:pPr>
        <w:tabs>
          <w:tab w:val="left" w:pos="1540"/>
        </w:tabs>
        <w:ind w:right="920"/>
        <w:rPr>
          <w:rFonts w:eastAsia="Seaford"/>
        </w:rPr>
      </w:pPr>
    </w:p>
    <w:p w14:paraId="71F72B94" w14:textId="52F3C8D9" w:rsidR="3FCBF956" w:rsidRDefault="006F6FEC" w:rsidP="000F0E0C">
      <w:pPr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7BA94503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Dear </w:t>
      </w:r>
      <w:r w:rsidR="009F498C">
        <w:rPr>
          <w:rFonts w:ascii="Seaford" w:eastAsia="Seaford" w:hAnsi="Seaford" w:cs="Seaford"/>
          <w:color w:val="000000" w:themeColor="text1"/>
          <w:sz w:val="22"/>
          <w:szCs w:val="22"/>
        </w:rPr>
        <w:t>Assemblymember Calderon</w:t>
      </w:r>
      <w:r w:rsidR="00067F39" w:rsidRPr="7BA94503">
        <w:rPr>
          <w:rFonts w:ascii="Seaford" w:eastAsia="Seaford" w:hAnsi="Seaford" w:cs="Seaford"/>
          <w:color w:val="000000" w:themeColor="text1"/>
          <w:sz w:val="22"/>
          <w:szCs w:val="22"/>
        </w:rPr>
        <w:t>:</w:t>
      </w:r>
    </w:p>
    <w:p w14:paraId="47D34362" w14:textId="395B5EBA" w:rsidR="3FCBF956" w:rsidRDefault="3FCBF956" w:rsidP="00FB70EA">
      <w:pPr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24AD9582" w14:textId="0D21E786" w:rsidR="006616CD" w:rsidRDefault="092599DE" w:rsidP="24A9E439">
      <w:pPr>
        <w:spacing w:afterLines="20" w:after="48"/>
        <w:rPr>
          <w:rFonts w:ascii="Seaford" w:eastAsia="Seaford" w:hAnsi="Seaford" w:cs="Seaford"/>
          <w:sz w:val="22"/>
          <w:szCs w:val="22"/>
        </w:rPr>
      </w:pPr>
      <w:r w:rsidRPr="24A9E439">
        <w:rPr>
          <w:rFonts w:ascii="Seaford" w:eastAsia="Seaford" w:hAnsi="Seaford" w:cs="Seaford"/>
          <w:color w:val="000000" w:themeColor="text1"/>
          <w:sz w:val="22"/>
          <w:szCs w:val="22"/>
          <w:highlight w:val="yellow"/>
        </w:rPr>
        <w:t>HOSPITAL NAME</w:t>
      </w: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takes </w:t>
      </w:r>
      <w:r w:rsidR="62834B9F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great pride in our efforts to protect </w:t>
      </w:r>
      <w:r w:rsidR="67B4D9CF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our </w:t>
      </w:r>
      <w:proofErr w:type="gramStart"/>
      <w:r w:rsidR="67B4D9CF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health care</w:t>
      </w:r>
      <w:proofErr w:type="gramEnd"/>
      <w:r w:rsidR="67B4D9CF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workers, including making sure they receive </w:t>
      </w:r>
      <w:r w:rsidR="24C62B7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exceptional </w:t>
      </w:r>
      <w:r w:rsidR="67B4D9CF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care should they be injured or </w:t>
      </w:r>
      <w:r w:rsidR="66ACB92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get sick while on the job.</w:t>
      </w:r>
      <w:r w:rsidR="3BBCB59E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</w:t>
      </w:r>
    </w:p>
    <w:p w14:paraId="5E3358D1" w14:textId="77777777" w:rsidR="006616CD" w:rsidRDefault="006616CD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1AB392A4" w14:textId="3418CC17" w:rsidR="14693841" w:rsidRDefault="14693841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As a result, 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  <w:highlight w:val="yellow"/>
        </w:rPr>
        <w:t>HOSPITAL NAME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approves, on average, 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  <w:highlight w:val="yellow"/>
        </w:rPr>
        <w:t>XX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% of workers’ compensation claims annually </w:t>
      </w:r>
      <w:r w:rsidR="3BC2EE63" w:rsidRPr="7044EF0B">
        <w:rPr>
          <w:rFonts w:ascii="Seaford" w:eastAsia="Seaford" w:hAnsi="Seaford" w:cs="Seaford"/>
          <w:color w:val="000000" w:themeColor="text1"/>
          <w:sz w:val="22"/>
          <w:szCs w:val="22"/>
          <w:highlight w:val="yellow"/>
        </w:rPr>
        <w:t>[IF APPLICABLE]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>. With an abiding principle of support and care for our invaluable health care workers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, 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  <w:highlight w:val="yellow"/>
        </w:rPr>
        <w:t>HOSPITAL NAME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 </w:t>
      </w:r>
      <w:r w:rsidR="6E9D3FDF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oppose</w:t>
      </w:r>
      <w:r w:rsidR="2FD5B61A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s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 </w:t>
      </w:r>
      <w:r w:rsidR="007A6A84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Senate Bill (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SB</w:t>
      </w:r>
      <w:r w:rsidR="007A6A84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)</w:t>
      </w:r>
      <w:r w:rsidR="63679DD4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 xml:space="preserve"> 632</w:t>
      </w:r>
      <w:r w:rsidR="0034150C" w:rsidRPr="7044EF0B">
        <w:rPr>
          <w:rFonts w:ascii="Seaford" w:eastAsia="Seaford" w:hAnsi="Seaford" w:cs="Seaford"/>
          <w:b/>
          <w:bCs/>
          <w:color w:val="000000" w:themeColor="text1"/>
          <w:sz w:val="22"/>
          <w:szCs w:val="22"/>
        </w:rPr>
        <w:t>.</w:t>
      </w:r>
    </w:p>
    <w:p w14:paraId="65C8E123" w14:textId="77777777" w:rsidR="001D1A59" w:rsidRDefault="001D1A59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2F92A09C" w14:textId="45082846" w:rsidR="14693841" w:rsidRDefault="52A2C7D3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C</w:t>
      </w:r>
      <w:r w:rsidR="63679DD4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rea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ti</w:t>
      </w:r>
      <w:r w:rsidR="4ED1FF7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ng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the state’s first-ever </w:t>
      </w:r>
      <w:r w:rsidR="00DB0047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broad-based 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private</w:t>
      </w:r>
      <w:r w:rsidR="00112CD6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-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sector workers’ compensati</w:t>
      </w: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on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presumption would make patient care more difficult, </w:t>
      </w:r>
      <w:proofErr w:type="gramStart"/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jeopardize</w:t>
      </w:r>
      <w:proofErr w:type="gramEnd"/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a health care system already bracing for</w:t>
      </w:r>
      <w:r w:rsidR="76ED98CD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massive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federal Medi-Cal cuts, and u</w:t>
      </w:r>
      <w:r w:rsidR="22000602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pend </w:t>
      </w:r>
      <w:r w:rsidR="0CB309B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a highly ef</w:t>
      </w:r>
      <w:r w:rsidR="4A51B144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fective and proven workers’ compensation system.</w:t>
      </w:r>
    </w:p>
    <w:p w14:paraId="0F2AA484" w14:textId="77777777" w:rsidR="006616CD" w:rsidRDefault="006616CD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5DF8EF30" w14:textId="769150C8" w:rsidR="49BF5C2D" w:rsidRDefault="49BF5C2D" w:rsidP="00FB70EA">
      <w:pPr>
        <w:spacing w:afterLines="20" w:after="48"/>
        <w:rPr>
          <w:rFonts w:ascii="Seaford" w:eastAsia="Seaford" w:hAnsi="Seaford" w:cs="Seaford"/>
          <w:sz w:val="22"/>
          <w:szCs w:val="22"/>
        </w:rPr>
      </w:pPr>
      <w:r w:rsidRPr="7044EF0B">
        <w:rPr>
          <w:rFonts w:ascii="Seaford" w:eastAsia="Seaford" w:hAnsi="Seaford" w:cs="Seaford"/>
          <w:sz w:val="22"/>
          <w:szCs w:val="22"/>
        </w:rPr>
        <w:t xml:space="preserve">Any increase in workers’ compensation costs will directly and immediately increase the cost of health care at a time when affordability of care is a priority. </w:t>
      </w:r>
      <w:r w:rsidR="79368BE1" w:rsidRPr="7044EF0B">
        <w:rPr>
          <w:rFonts w:ascii="Seaford" w:eastAsia="Seaford" w:hAnsi="Seaford" w:cs="Seaford"/>
          <w:sz w:val="22"/>
          <w:szCs w:val="22"/>
        </w:rPr>
        <w:t>With</w:t>
      </w:r>
      <w:r w:rsidRPr="7044EF0B">
        <w:rPr>
          <w:rFonts w:ascii="Seaford" w:eastAsia="Seaford" w:hAnsi="Seaford" w:cs="Seaford"/>
          <w:sz w:val="22"/>
          <w:szCs w:val="22"/>
        </w:rPr>
        <w:t xml:space="preserve"> </w:t>
      </w:r>
      <w:r w:rsidR="00D12576" w:rsidRPr="7044EF0B">
        <w:rPr>
          <w:rFonts w:ascii="Seaford" w:eastAsia="Seaford" w:hAnsi="Seaford" w:cs="Seaford"/>
          <w:sz w:val="22"/>
          <w:szCs w:val="22"/>
          <w:highlight w:val="yellow"/>
        </w:rPr>
        <w:t>NAME OF HOSPITAL</w:t>
      </w:r>
      <w:r w:rsidRPr="7044EF0B">
        <w:rPr>
          <w:rFonts w:ascii="Seaford" w:eastAsia="Seaford" w:hAnsi="Seaford" w:cs="Seaford"/>
          <w:sz w:val="22"/>
          <w:szCs w:val="22"/>
        </w:rPr>
        <w:t xml:space="preserve"> already </w:t>
      </w:r>
      <w:r w:rsidR="384C6658" w:rsidRPr="7044EF0B">
        <w:rPr>
          <w:rFonts w:ascii="Seaford" w:eastAsia="Seaford" w:hAnsi="Seaford" w:cs="Seaford"/>
          <w:sz w:val="22"/>
          <w:szCs w:val="22"/>
        </w:rPr>
        <w:t>brac</w:t>
      </w:r>
      <w:r w:rsidRPr="7044EF0B">
        <w:rPr>
          <w:rFonts w:ascii="Seaford" w:eastAsia="Seaford" w:hAnsi="Seaford" w:cs="Seaford"/>
          <w:sz w:val="22"/>
          <w:szCs w:val="22"/>
        </w:rPr>
        <w:t>ing for likely Medicare and Medicaid cuts</w:t>
      </w:r>
      <w:r w:rsidR="7F649443" w:rsidRPr="7044EF0B">
        <w:rPr>
          <w:rFonts w:ascii="Seaford" w:eastAsia="Seaford" w:hAnsi="Seaford" w:cs="Seaford"/>
          <w:sz w:val="22"/>
          <w:szCs w:val="22"/>
        </w:rPr>
        <w:t xml:space="preserve">, this bill would only compound the challenges </w:t>
      </w:r>
      <w:r w:rsidR="2D79AA47" w:rsidRPr="7044EF0B">
        <w:rPr>
          <w:rFonts w:ascii="Seaford" w:eastAsia="Seaford" w:hAnsi="Seaford" w:cs="Seaford"/>
          <w:sz w:val="22"/>
          <w:szCs w:val="22"/>
        </w:rPr>
        <w:t>faced in</w:t>
      </w:r>
      <w:r w:rsidRPr="7044EF0B">
        <w:rPr>
          <w:rFonts w:ascii="Seaford" w:eastAsia="Seaford" w:hAnsi="Seaford" w:cs="Seaford"/>
          <w:sz w:val="22"/>
          <w:szCs w:val="22"/>
        </w:rPr>
        <w:t xml:space="preserve"> </w:t>
      </w:r>
      <w:r w:rsidR="73372754" w:rsidRPr="7044EF0B">
        <w:rPr>
          <w:rFonts w:ascii="Seaford" w:eastAsia="Seaford" w:hAnsi="Seaford" w:cs="Seaford"/>
          <w:sz w:val="22"/>
          <w:szCs w:val="22"/>
        </w:rPr>
        <w:t>maintaining</w:t>
      </w:r>
      <w:r w:rsidRPr="7044EF0B">
        <w:rPr>
          <w:rFonts w:ascii="Seaford" w:eastAsia="Seaford" w:hAnsi="Seaford" w:cs="Seaford"/>
          <w:sz w:val="22"/>
          <w:szCs w:val="22"/>
        </w:rPr>
        <w:t xml:space="preserve"> access to high-quality care. The cost of this new mandate would likely be astronomical. Even a single claim, which could be filed after employment ends, could be valued in </w:t>
      </w:r>
      <w:proofErr w:type="gramStart"/>
      <w:r w:rsidRPr="7044EF0B">
        <w:rPr>
          <w:rFonts w:ascii="Seaford" w:eastAsia="Seaford" w:hAnsi="Seaford" w:cs="Seaford"/>
          <w:sz w:val="22"/>
          <w:szCs w:val="22"/>
        </w:rPr>
        <w:t>the hundreds</w:t>
      </w:r>
      <w:proofErr w:type="gramEnd"/>
      <w:r w:rsidRPr="7044EF0B">
        <w:rPr>
          <w:rFonts w:ascii="Seaford" w:eastAsia="Seaford" w:hAnsi="Seaford" w:cs="Seaford"/>
          <w:sz w:val="22"/>
          <w:szCs w:val="22"/>
        </w:rPr>
        <w:t xml:space="preserve"> of thousands of dollars.</w:t>
      </w:r>
    </w:p>
    <w:p w14:paraId="08DA33B4" w14:textId="77777777" w:rsidR="006616CD" w:rsidRDefault="006616CD" w:rsidP="00FB70E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17FAA966" w14:textId="505C543D" w:rsidR="006616CD" w:rsidRDefault="49BF5C2D" w:rsidP="7044EF0B">
      <w:pPr>
        <w:spacing w:afterLines="20" w:after="48" w:line="259" w:lineRule="auto"/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SB 632 would </w:t>
      </w:r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apply </w:t>
      </w:r>
      <w:r w:rsidR="00BF6543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solely </w:t>
      </w:r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>to hospital employees and create a series of workers’ compensation rebuttable presumptions that illness from a variety of conditions</w:t>
      </w:r>
      <w:r w:rsidR="00585E51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—</w:t>
      </w:r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including COVID-19</w:t>
      </w:r>
      <w:r w:rsidR="00585E51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— </w:t>
      </w:r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arose out of and </w:t>
      </w:r>
      <w:proofErr w:type="gramStart"/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>in the course of</w:t>
      </w:r>
      <w:proofErr w:type="gramEnd"/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providing direct patient care. </w:t>
      </w:r>
      <w:r w:rsidRPr="7044EF0B">
        <w:rPr>
          <w:rFonts w:ascii="Seaford" w:eastAsia="Seaford" w:hAnsi="Seaford" w:cs="Seaford"/>
          <w:color w:val="000000" w:themeColor="text1"/>
          <w:sz w:val="22"/>
          <w:szCs w:val="22"/>
        </w:rPr>
        <w:t>Not only is the creation of these presumptions unsupported by data, but the presumptions do not</w:t>
      </w:r>
      <w:r w:rsidR="092599DE" w:rsidRPr="7044EF0B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further the goal of maintaining and strengthening existing health and safety practices in California’s hospitals. </w:t>
      </w:r>
    </w:p>
    <w:p w14:paraId="0358423B" w14:textId="3B1D3961" w:rsidR="710A8C2A" w:rsidRDefault="710A8C2A" w:rsidP="710A8C2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21501D94" w14:textId="591B7AF5" w:rsidR="336B6C68" w:rsidRPr="00C47295" w:rsidRDefault="4949C00F" w:rsidP="710A8C2A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  <w:r w:rsidRPr="710A8C2A">
        <w:rPr>
          <w:rFonts w:ascii="Seaford" w:eastAsia="Seaford" w:hAnsi="Seaford" w:cs="Seaford"/>
          <w:color w:val="000000" w:themeColor="text1"/>
          <w:sz w:val="22"/>
          <w:szCs w:val="22"/>
        </w:rPr>
        <w:t>Mor</w:t>
      </w:r>
      <w:r w:rsidR="249E248E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>e</w:t>
      </w:r>
      <w:r w:rsidRPr="710A8C2A">
        <w:rPr>
          <w:rFonts w:ascii="Seaford" w:eastAsia="Seaford" w:hAnsi="Seaford" w:cs="Seaford"/>
          <w:color w:val="000000" w:themeColor="text1"/>
          <w:sz w:val="22"/>
          <w:szCs w:val="22"/>
        </w:rPr>
        <w:t>over</w:t>
      </w:r>
      <w:r w:rsidR="092599DE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, workers making a claim for </w:t>
      </w:r>
      <w:r w:rsidR="4CC439BB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a presumed work-related injury </w:t>
      </w:r>
      <w:r w:rsidR="092599DE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need to provide little to no evidence that their injuries are </w:t>
      </w:r>
      <w:r w:rsidR="418F0E70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in fact </w:t>
      </w:r>
      <w:r w:rsidR="092599DE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work-related. </w:t>
      </w:r>
      <w:r w:rsidR="336B6C68" w:rsidRPr="710A8C2A">
        <w:rPr>
          <w:rFonts w:ascii="Seaford" w:eastAsia="Seaford" w:hAnsi="Seaford" w:cs="Seaford"/>
          <w:sz w:val="22"/>
          <w:szCs w:val="22"/>
        </w:rPr>
        <w:t xml:space="preserve">An unnecessarily expansive policy such as this </w:t>
      </w:r>
      <w:r w:rsidR="5E8710E6" w:rsidRPr="710A8C2A">
        <w:rPr>
          <w:rFonts w:ascii="Seaford" w:eastAsia="Seaford" w:hAnsi="Seaford" w:cs="Seaford"/>
          <w:sz w:val="22"/>
          <w:szCs w:val="22"/>
        </w:rPr>
        <w:t xml:space="preserve">would </w:t>
      </w:r>
      <w:proofErr w:type="gramStart"/>
      <w:r w:rsidR="5E8710E6" w:rsidRPr="710A8C2A">
        <w:rPr>
          <w:rFonts w:ascii="Seaford" w:eastAsia="Seaford" w:hAnsi="Seaford" w:cs="Seaford"/>
          <w:sz w:val="22"/>
          <w:szCs w:val="22"/>
        </w:rPr>
        <w:t>actually</w:t>
      </w:r>
      <w:r w:rsidR="336B6C68" w:rsidRPr="710A8C2A">
        <w:rPr>
          <w:rFonts w:ascii="Seaford" w:eastAsia="Seaford" w:hAnsi="Seaford" w:cs="Seaford"/>
          <w:sz w:val="22"/>
          <w:szCs w:val="22"/>
        </w:rPr>
        <w:t xml:space="preserve"> have</w:t>
      </w:r>
      <w:proofErr w:type="gramEnd"/>
      <w:r w:rsidR="336B6C68" w:rsidRPr="710A8C2A">
        <w:rPr>
          <w:rFonts w:ascii="Seaford" w:eastAsia="Seaford" w:hAnsi="Seaford" w:cs="Seaford"/>
          <w:sz w:val="22"/>
          <w:szCs w:val="22"/>
        </w:rPr>
        <w:t xml:space="preserve"> the opposite effect, making it more costly to care for workers and </w:t>
      </w:r>
      <w:r w:rsidR="00AE36C6" w:rsidRPr="710A8C2A">
        <w:rPr>
          <w:rFonts w:ascii="Seaford" w:eastAsia="Seaford" w:hAnsi="Seaford" w:cs="Seaford"/>
          <w:sz w:val="22"/>
          <w:szCs w:val="22"/>
        </w:rPr>
        <w:t>resulting in</w:t>
      </w:r>
      <w:r w:rsidR="336B6C68" w:rsidRPr="710A8C2A">
        <w:rPr>
          <w:rFonts w:ascii="Seaford" w:eastAsia="Seaford" w:hAnsi="Seaford" w:cs="Seaford"/>
          <w:sz w:val="22"/>
          <w:szCs w:val="22"/>
        </w:rPr>
        <w:t xml:space="preserve"> reduced employment and </w:t>
      </w:r>
      <w:proofErr w:type="gramStart"/>
      <w:r w:rsidR="336B6C68" w:rsidRPr="710A8C2A">
        <w:rPr>
          <w:rFonts w:ascii="Seaford" w:eastAsia="Seaford" w:hAnsi="Seaford" w:cs="Seaford"/>
          <w:sz w:val="22"/>
          <w:szCs w:val="22"/>
        </w:rPr>
        <w:t>protections</w:t>
      </w:r>
      <w:proofErr w:type="gramEnd"/>
      <w:r w:rsidR="336B6C68" w:rsidRPr="710A8C2A">
        <w:rPr>
          <w:rFonts w:ascii="Seaford" w:eastAsia="Seaford" w:hAnsi="Seaford" w:cs="Seaford"/>
          <w:sz w:val="22"/>
          <w:szCs w:val="22"/>
        </w:rPr>
        <w:t>.</w:t>
      </w:r>
      <w:r w:rsidR="00C47295" w:rsidRPr="710A8C2A">
        <w:rPr>
          <w:rFonts w:ascii="Seaford" w:eastAsia="Seaford" w:hAnsi="Seaford" w:cs="Seaford"/>
          <w:sz w:val="22"/>
          <w:szCs w:val="22"/>
        </w:rPr>
        <w:t xml:space="preserve"> </w:t>
      </w:r>
      <w:r w:rsidR="336B6C68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The current workers’ compensation system </w:t>
      </w:r>
      <w:r w:rsidR="336B6C68" w:rsidRPr="710A8C2A">
        <w:rPr>
          <w:rFonts w:ascii="Seaford" w:eastAsia="Seaford" w:hAnsi="Seaford" w:cs="Seaford"/>
          <w:sz w:val="22"/>
          <w:szCs w:val="22"/>
        </w:rPr>
        <w:t xml:space="preserve">is highly effective in caring </w:t>
      </w:r>
      <w:r w:rsidR="336B6C68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for employees who are injured or become ill due to occupational hazards. For any non-work-related illnesses or injuries, </w:t>
      </w:r>
      <w:r w:rsidR="336B6C68" w:rsidRPr="710A8C2A">
        <w:rPr>
          <w:rFonts w:ascii="Seaford" w:eastAsia="Seaford" w:hAnsi="Seaford" w:cs="Seaford"/>
          <w:color w:val="000000" w:themeColor="text1"/>
          <w:sz w:val="22"/>
          <w:szCs w:val="22"/>
          <w:highlight w:val="yellow"/>
        </w:rPr>
        <w:t>NAME OF HOSPITAL</w:t>
      </w:r>
      <w:r w:rsidR="336B6C68" w:rsidRPr="710A8C2A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 fully supports ensuring workers have access to high-quality health care.</w:t>
      </w:r>
    </w:p>
    <w:p w14:paraId="10047718" w14:textId="77777777" w:rsidR="006616CD" w:rsidRDefault="006616CD" w:rsidP="00217E05">
      <w:pPr>
        <w:tabs>
          <w:tab w:val="left" w:pos="820"/>
        </w:tabs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69E28F64" w14:textId="4E6523F2" w:rsidR="3FCBF956" w:rsidRDefault="336B6C68" w:rsidP="00217E05">
      <w:pPr>
        <w:tabs>
          <w:tab w:val="left" w:pos="820"/>
        </w:tabs>
        <w:spacing w:afterLines="20" w:after="48"/>
        <w:rPr>
          <w:rFonts w:ascii="Seaford" w:eastAsia="Seaford" w:hAnsi="Seaford" w:cs="Seaford"/>
          <w:sz w:val="22"/>
          <w:szCs w:val="22"/>
        </w:rPr>
      </w:pP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Unfortunately, the presumptions that </w:t>
      </w:r>
      <w:r w:rsidR="00A8226C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S</w:t>
      </w: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B 632 </w:t>
      </w:r>
      <w:r w:rsidR="00ED37A9" w:rsidRPr="24A9E439">
        <w:rPr>
          <w:rFonts w:ascii="Seaford" w:eastAsia="Seaford" w:hAnsi="Seaford" w:cs="Seaford"/>
          <w:color w:val="000000" w:themeColor="text1"/>
          <w:sz w:val="22"/>
          <w:szCs w:val="22"/>
        </w:rPr>
        <w:t xml:space="preserve">would create </w:t>
      </w:r>
      <w:r w:rsidRPr="24A9E439">
        <w:rPr>
          <w:rFonts w:ascii="Seaford" w:eastAsia="Seaford" w:hAnsi="Seaford" w:cs="Seaford"/>
          <w:color w:val="000000" w:themeColor="text1"/>
          <w:sz w:val="22"/>
          <w:szCs w:val="22"/>
        </w:rPr>
        <w:t>fail to balance what the system is designed to do</w:t>
      </w:r>
      <w:r w:rsidRPr="24A9E439">
        <w:rPr>
          <w:rFonts w:ascii="Seaford" w:eastAsia="Seaford" w:hAnsi="Seaford" w:cs="Seaford"/>
          <w:color w:val="D13438"/>
          <w:sz w:val="22"/>
          <w:szCs w:val="22"/>
        </w:rPr>
        <w:t xml:space="preserve"> </w:t>
      </w:r>
      <w:r w:rsidRPr="24A9E439">
        <w:rPr>
          <w:rFonts w:ascii="Seaford" w:eastAsia="Seaford" w:hAnsi="Seaford" w:cs="Seaford"/>
          <w:sz w:val="22"/>
          <w:szCs w:val="22"/>
        </w:rPr>
        <w:t>with the impact on patients, health care workers, and hospitals — especially given volatility and uncertainty around Medi-Cal financing.</w:t>
      </w:r>
    </w:p>
    <w:p w14:paraId="04FD4B52" w14:textId="77777777" w:rsidR="006616CD" w:rsidRDefault="006616CD" w:rsidP="00217E05">
      <w:pPr>
        <w:tabs>
          <w:tab w:val="left" w:pos="820"/>
        </w:tabs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73209E99" w14:textId="18732E0E" w:rsidR="00E151D4" w:rsidRPr="003405C8" w:rsidRDefault="00E151D4" w:rsidP="000F0E0C">
      <w:pPr>
        <w:spacing w:afterLines="20" w:after="48"/>
        <w:rPr>
          <w:rFonts w:ascii="Seaford" w:eastAsia="Seaford" w:hAnsi="Seaford" w:cs="Seaford"/>
          <w:sz w:val="22"/>
          <w:szCs w:val="22"/>
        </w:rPr>
      </w:pPr>
      <w:r w:rsidRPr="64250C37">
        <w:rPr>
          <w:rFonts w:ascii="Seaford" w:eastAsia="Seaford" w:hAnsi="Seaford" w:cs="Seaford"/>
          <w:sz w:val="22"/>
          <w:szCs w:val="22"/>
        </w:rPr>
        <w:t xml:space="preserve">For these reasons, </w:t>
      </w:r>
      <w:r w:rsidRPr="64250C37">
        <w:rPr>
          <w:rFonts w:ascii="Seaford" w:eastAsia="Seaford" w:hAnsi="Seaford" w:cs="Seaford"/>
          <w:sz w:val="22"/>
          <w:szCs w:val="22"/>
          <w:highlight w:val="yellow"/>
        </w:rPr>
        <w:t>[Hospital/Health System Name]</w:t>
      </w:r>
      <w:r w:rsidRPr="64250C37">
        <w:rPr>
          <w:rFonts w:ascii="Seaford" w:eastAsia="Seaford" w:hAnsi="Seaford" w:cs="Seaford"/>
          <w:sz w:val="22"/>
          <w:szCs w:val="22"/>
        </w:rPr>
        <w:t xml:space="preserve"> respectfully asks for </w:t>
      </w:r>
      <w:r w:rsidR="6A58C08F" w:rsidRPr="64250C37">
        <w:rPr>
          <w:rFonts w:ascii="Seaford" w:eastAsia="Seaford" w:hAnsi="Seaford" w:cs="Seaford"/>
          <w:sz w:val="22"/>
          <w:szCs w:val="22"/>
        </w:rPr>
        <w:t>your</w:t>
      </w:r>
      <w:r w:rsidRPr="64250C37">
        <w:rPr>
          <w:rFonts w:ascii="Seaford" w:eastAsia="Seaford" w:hAnsi="Seaford" w:cs="Seaford"/>
          <w:sz w:val="22"/>
          <w:szCs w:val="22"/>
        </w:rPr>
        <w:t xml:space="preserve"> “NO” vote on SB 632.</w:t>
      </w:r>
    </w:p>
    <w:p w14:paraId="26D958B0" w14:textId="61776577" w:rsidR="3FCBF956" w:rsidRDefault="3FCBF956" w:rsidP="000F0E0C">
      <w:pPr>
        <w:spacing w:afterLines="20" w:after="48"/>
        <w:rPr>
          <w:rFonts w:ascii="Seaford" w:eastAsia="Seaford" w:hAnsi="Seaford" w:cs="Seaford"/>
          <w:color w:val="000000" w:themeColor="text1"/>
          <w:sz w:val="22"/>
          <w:szCs w:val="22"/>
        </w:rPr>
      </w:pPr>
    </w:p>
    <w:p w14:paraId="4DBF711B" w14:textId="77777777" w:rsidR="004E42F8" w:rsidRPr="00EA459C" w:rsidRDefault="004E42F8" w:rsidP="00FB70EA">
      <w:pPr>
        <w:ind w:left="360"/>
        <w:rPr>
          <w:rFonts w:ascii="Seaford" w:eastAsia="Seaford" w:hAnsi="Seaford" w:cs="Seaford"/>
          <w:sz w:val="22"/>
          <w:szCs w:val="22"/>
        </w:rPr>
      </w:pPr>
    </w:p>
    <w:p w14:paraId="7D62C0A9" w14:textId="77777777" w:rsidR="00DB015D" w:rsidRPr="003405C8" w:rsidRDefault="00DB015D" w:rsidP="00FB70EA">
      <w:pPr>
        <w:rPr>
          <w:rFonts w:ascii="Seaford" w:eastAsia="Seaford" w:hAnsi="Seaford" w:cs="Seaford"/>
          <w:sz w:val="22"/>
          <w:szCs w:val="22"/>
        </w:rPr>
      </w:pPr>
    </w:p>
    <w:p w14:paraId="5085FE52" w14:textId="284A9755" w:rsidR="00DB015D" w:rsidRDefault="00DB015D" w:rsidP="00FB70EA">
      <w:pPr>
        <w:rPr>
          <w:rFonts w:ascii="Seaford" w:eastAsia="Seaford" w:hAnsi="Seaford" w:cs="Seaford"/>
          <w:sz w:val="22"/>
          <w:szCs w:val="22"/>
        </w:rPr>
      </w:pPr>
      <w:r w:rsidRPr="64250C37">
        <w:rPr>
          <w:rFonts w:ascii="Seaford" w:eastAsia="Seaford" w:hAnsi="Seaford" w:cs="Seaford"/>
          <w:sz w:val="22"/>
          <w:szCs w:val="22"/>
        </w:rPr>
        <w:t>Sincerely,</w:t>
      </w:r>
    </w:p>
    <w:p w14:paraId="509C63B5" w14:textId="3D69F8E2" w:rsidR="004E42F8" w:rsidRDefault="004E42F8" w:rsidP="00FB70EA">
      <w:pPr>
        <w:rPr>
          <w:rFonts w:ascii="Seaford" w:eastAsia="Seaford" w:hAnsi="Seaford" w:cs="Seaford"/>
          <w:sz w:val="22"/>
          <w:szCs w:val="22"/>
        </w:rPr>
      </w:pPr>
    </w:p>
    <w:p w14:paraId="257DC3F4" w14:textId="54FF7258" w:rsidR="004E42F8" w:rsidRDefault="004E42F8" w:rsidP="00FB70EA">
      <w:pPr>
        <w:rPr>
          <w:rFonts w:ascii="Seaford" w:eastAsia="Seaford" w:hAnsi="Seaford" w:cs="Seaford"/>
          <w:sz w:val="22"/>
          <w:szCs w:val="22"/>
        </w:rPr>
      </w:pPr>
    </w:p>
    <w:p w14:paraId="66D272AF" w14:textId="77777777" w:rsidR="004E42F8" w:rsidRPr="003405C8" w:rsidRDefault="004E42F8" w:rsidP="00FB70EA">
      <w:pPr>
        <w:rPr>
          <w:rFonts w:ascii="Seaford" w:eastAsia="Seaford" w:hAnsi="Seaford" w:cs="Seaford"/>
          <w:sz w:val="22"/>
          <w:szCs w:val="22"/>
        </w:rPr>
      </w:pPr>
    </w:p>
    <w:p w14:paraId="3F7A61FC" w14:textId="77777777" w:rsidR="00DB015D" w:rsidRPr="003405C8" w:rsidRDefault="00DB015D" w:rsidP="00FB70EA">
      <w:pPr>
        <w:rPr>
          <w:rFonts w:ascii="Seaford" w:eastAsia="Seaford" w:hAnsi="Seaford" w:cs="Seaford"/>
          <w:sz w:val="22"/>
          <w:szCs w:val="22"/>
        </w:rPr>
      </w:pPr>
      <w:r w:rsidRPr="64250C37">
        <w:rPr>
          <w:rFonts w:ascii="Seaford" w:eastAsia="Seaford" w:hAnsi="Seaford" w:cs="Seaford"/>
          <w:sz w:val="22"/>
          <w:szCs w:val="22"/>
        </w:rPr>
        <w:t>[</w:t>
      </w:r>
      <w:r w:rsidRPr="64250C37">
        <w:rPr>
          <w:rFonts w:ascii="Seaford" w:eastAsia="Seaford" w:hAnsi="Seaford" w:cs="Seaford"/>
          <w:sz w:val="22"/>
          <w:szCs w:val="22"/>
          <w:highlight w:val="yellow"/>
        </w:rPr>
        <w:t>Your name and contact information</w:t>
      </w:r>
      <w:r w:rsidRPr="64250C37">
        <w:rPr>
          <w:rFonts w:ascii="Seaford" w:eastAsia="Seaford" w:hAnsi="Seaford" w:cs="Seaford"/>
          <w:sz w:val="22"/>
          <w:szCs w:val="22"/>
        </w:rPr>
        <w:t>]</w:t>
      </w:r>
    </w:p>
    <w:p w14:paraId="27C9575A" w14:textId="77777777" w:rsidR="00DB015D" w:rsidRPr="003405C8" w:rsidRDefault="00DB015D" w:rsidP="00FB70EA">
      <w:pPr>
        <w:rPr>
          <w:rFonts w:ascii="Seaford" w:eastAsia="Seaford" w:hAnsi="Seaford" w:cs="Seaford"/>
          <w:sz w:val="22"/>
          <w:szCs w:val="22"/>
        </w:rPr>
      </w:pPr>
    </w:p>
    <w:p w14:paraId="2506A621" w14:textId="77777777" w:rsidR="00DB015D" w:rsidRPr="003405C8" w:rsidRDefault="00DB015D" w:rsidP="00FB70EA">
      <w:pPr>
        <w:rPr>
          <w:rFonts w:ascii="Seaford" w:eastAsia="Seaford" w:hAnsi="Seaford" w:cs="Seaford"/>
          <w:sz w:val="22"/>
          <w:szCs w:val="22"/>
        </w:rPr>
      </w:pPr>
    </w:p>
    <w:p w14:paraId="65921978" w14:textId="77777777" w:rsidR="00DB015D" w:rsidRPr="003405C8" w:rsidRDefault="00DB015D" w:rsidP="00FB70EA">
      <w:pPr>
        <w:rPr>
          <w:rFonts w:ascii="Seaford" w:eastAsia="Seaford" w:hAnsi="Seaford" w:cs="Seaford"/>
          <w:sz w:val="22"/>
          <w:szCs w:val="22"/>
        </w:rPr>
      </w:pPr>
    </w:p>
    <w:p w14:paraId="05E20C32" w14:textId="77777777" w:rsidR="00DB015D" w:rsidRPr="003405C8" w:rsidRDefault="00DB015D" w:rsidP="00FB70EA">
      <w:pPr>
        <w:rPr>
          <w:rFonts w:asciiTheme="minorHAnsi" w:hAnsiTheme="minorHAnsi" w:cstheme="minorHAnsi"/>
          <w:sz w:val="22"/>
          <w:szCs w:val="22"/>
        </w:rPr>
      </w:pPr>
    </w:p>
    <w:p w14:paraId="122C5AA3" w14:textId="073D435D" w:rsidR="001B353A" w:rsidRDefault="00DE1624" w:rsidP="00FB70EA">
      <w:pPr>
        <w:pStyle w:val="BodyText"/>
        <w:tabs>
          <w:tab w:val="left" w:pos="820"/>
        </w:tabs>
        <w:ind w:left="100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  <w:r w:rsidRPr="3FCBF956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cc:</w:t>
      </w:r>
      <w:r>
        <w:tab/>
      </w:r>
      <w:r w:rsidR="001B353A" w:rsidRPr="3FCBF956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 xml:space="preserve">The Honorable Jesse </w:t>
      </w:r>
      <w:proofErr w:type="spellStart"/>
      <w:r w:rsidR="001B353A" w:rsidRPr="3FCBF956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Arreguín</w:t>
      </w:r>
      <w:proofErr w:type="spellEnd"/>
      <w:r w:rsidR="001B353A" w:rsidRPr="3FCBF956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, Senate District 7</w:t>
      </w:r>
    </w:p>
    <w:p w14:paraId="548FBB8B" w14:textId="1F1872F2" w:rsidR="009F498C" w:rsidRDefault="009F498C" w:rsidP="00FB70EA">
      <w:pPr>
        <w:pStyle w:val="BodyText"/>
        <w:tabs>
          <w:tab w:val="left" w:pos="820"/>
        </w:tabs>
        <w:ind w:left="100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  <w:r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ab/>
        <w:t>The Honorable Members of the Assembly Committee on Insurance</w:t>
      </w:r>
    </w:p>
    <w:p w14:paraId="7BD5544D" w14:textId="64D6CE80" w:rsidR="009F498C" w:rsidRDefault="009F498C" w:rsidP="00FB70EA">
      <w:pPr>
        <w:pStyle w:val="BodyText"/>
        <w:tabs>
          <w:tab w:val="left" w:pos="820"/>
        </w:tabs>
        <w:ind w:left="100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  <w:r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ab/>
        <w:t>Paul Riches, Principal Consultant, Assembly Committee on Insurance</w:t>
      </w:r>
    </w:p>
    <w:p w14:paraId="7274C486" w14:textId="2A4BE482" w:rsidR="009F498C" w:rsidRDefault="009F498C" w:rsidP="00FB70EA">
      <w:pPr>
        <w:pStyle w:val="BodyText"/>
        <w:tabs>
          <w:tab w:val="left" w:pos="820"/>
        </w:tabs>
        <w:ind w:left="100"/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</w:pPr>
      <w:r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ab/>
      </w:r>
      <w:r w:rsidRPr="009F498C">
        <w:rPr>
          <w:rFonts w:ascii="Seaford" w:eastAsia="Seaford" w:hAnsi="Seaford" w:cs="Seaford"/>
          <w:bCs w:val="0"/>
          <w:iCs w:val="0"/>
          <w:color w:val="000000" w:themeColor="text1"/>
          <w:sz w:val="22"/>
          <w:szCs w:val="22"/>
        </w:rPr>
        <w:t>Lauren Prichard, Consultant, Assembly Republican Caucus</w:t>
      </w:r>
    </w:p>
    <w:p w14:paraId="64B70E28" w14:textId="77777777" w:rsidR="00DB015D" w:rsidRPr="003405C8" w:rsidRDefault="00DB015D" w:rsidP="00FB70EA">
      <w:pPr>
        <w:rPr>
          <w:rFonts w:asciiTheme="minorHAnsi" w:hAnsiTheme="minorHAnsi" w:cstheme="minorHAnsi"/>
          <w:sz w:val="22"/>
          <w:szCs w:val="22"/>
        </w:rPr>
      </w:pPr>
    </w:p>
    <w:sectPr w:rsidR="00DB015D" w:rsidRPr="003405C8" w:rsidSect="009F01B3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20F3" w14:textId="77777777" w:rsidR="00710737" w:rsidRDefault="00710737">
      <w:r>
        <w:separator/>
      </w:r>
    </w:p>
  </w:endnote>
  <w:endnote w:type="continuationSeparator" w:id="0">
    <w:p w14:paraId="258DC201" w14:textId="77777777" w:rsidR="00710737" w:rsidRDefault="00710737">
      <w:r>
        <w:continuationSeparator/>
      </w:r>
    </w:p>
  </w:endnote>
  <w:endnote w:type="continuationNotice" w:id="1">
    <w:p w14:paraId="39A94FDF" w14:textId="77777777" w:rsidR="00710737" w:rsidRDefault="00710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7E23" w14:textId="5C06AE2A" w:rsidR="00BB03F3" w:rsidRDefault="00BB03F3" w:rsidP="00A213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CC78" w14:textId="77777777" w:rsidR="00710737" w:rsidRDefault="00710737">
      <w:r>
        <w:separator/>
      </w:r>
    </w:p>
  </w:footnote>
  <w:footnote w:type="continuationSeparator" w:id="0">
    <w:p w14:paraId="7B95BB64" w14:textId="77777777" w:rsidR="00710737" w:rsidRDefault="00710737">
      <w:r>
        <w:continuationSeparator/>
      </w:r>
    </w:p>
  </w:footnote>
  <w:footnote w:type="continuationNotice" w:id="1">
    <w:p w14:paraId="34C2AD2F" w14:textId="77777777" w:rsidR="00710737" w:rsidRDefault="00710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7E17" w14:textId="77777777" w:rsidR="00BB03F3" w:rsidRDefault="00BB0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17E18" w14:textId="77777777" w:rsidR="00BB03F3" w:rsidRDefault="00BB03F3">
    <w:pPr>
      <w:ind w:right="360"/>
    </w:pPr>
    <w:r>
      <w:t>Addressee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2</w:t>
    </w:r>
  </w:p>
  <w:p w14:paraId="4A917E19" w14:textId="77777777" w:rsidR="00BB03F3" w:rsidRDefault="00BB03F3">
    <w:pPr>
      <w:pStyle w:val="Header"/>
    </w:pPr>
    <w:r>
      <w:t>Date</w:t>
    </w:r>
  </w:p>
  <w:p w14:paraId="4A917E1A" w14:textId="77777777" w:rsidR="00BB03F3" w:rsidRDefault="000E00C4">
    <w:pPr>
      <w:pStyle w:val="Header"/>
    </w:pPr>
    <w:r>
      <w:pict w14:anchorId="4A917E24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7E1B" w14:textId="244D78BB" w:rsidR="00BB03F3" w:rsidRPr="008F65A6" w:rsidRDefault="00BB03F3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 w:rsidRPr="008F65A6">
      <w:rPr>
        <w:rStyle w:val="PageNumber"/>
        <w:rFonts w:asciiTheme="minorHAnsi" w:hAnsiTheme="minorHAnsi" w:cstheme="minorHAnsi"/>
        <w:sz w:val="22"/>
      </w:rPr>
      <w:t xml:space="preserve">Page </w:t>
    </w:r>
    <w:r w:rsidRPr="008F65A6">
      <w:rPr>
        <w:rStyle w:val="PageNumber"/>
        <w:rFonts w:asciiTheme="minorHAnsi" w:hAnsiTheme="minorHAnsi" w:cstheme="minorHAnsi"/>
        <w:sz w:val="22"/>
      </w:rPr>
      <w:fldChar w:fldCharType="begin"/>
    </w:r>
    <w:r w:rsidRPr="008F65A6">
      <w:rPr>
        <w:rStyle w:val="PageNumber"/>
        <w:rFonts w:asciiTheme="minorHAnsi" w:hAnsiTheme="minorHAnsi" w:cstheme="minorHAnsi"/>
        <w:sz w:val="22"/>
      </w:rPr>
      <w:instrText xml:space="preserve">PAGE  </w:instrText>
    </w:r>
    <w:r w:rsidRPr="008F65A6">
      <w:rPr>
        <w:rStyle w:val="PageNumber"/>
        <w:rFonts w:asciiTheme="minorHAnsi" w:hAnsiTheme="minorHAnsi" w:cstheme="minorHAnsi"/>
        <w:sz w:val="22"/>
      </w:rPr>
      <w:fldChar w:fldCharType="separate"/>
    </w:r>
    <w:r w:rsidR="00AB692C">
      <w:rPr>
        <w:rStyle w:val="PageNumber"/>
        <w:rFonts w:asciiTheme="minorHAnsi" w:hAnsiTheme="minorHAnsi" w:cstheme="minorHAnsi"/>
        <w:noProof/>
        <w:sz w:val="22"/>
      </w:rPr>
      <w:t>2</w:t>
    </w:r>
    <w:r w:rsidRPr="008F65A6">
      <w:rPr>
        <w:rStyle w:val="PageNumber"/>
        <w:rFonts w:asciiTheme="minorHAnsi" w:hAnsiTheme="minorHAnsi" w:cstheme="minorHAnsi"/>
        <w:sz w:val="22"/>
      </w:rPr>
      <w:fldChar w:fldCharType="end"/>
    </w:r>
  </w:p>
  <w:p w14:paraId="4A917E1D" w14:textId="400B5DA8" w:rsidR="00BB03F3" w:rsidRDefault="003405C8" w:rsidP="0075597C">
    <w:pPr>
      <w:pStyle w:val="Header"/>
      <w:ind w:right="360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DATE</w:t>
    </w:r>
  </w:p>
  <w:p w14:paraId="4A917E1E" w14:textId="77777777" w:rsidR="00BB03F3" w:rsidRPr="008F65A6" w:rsidRDefault="000E00C4">
    <w:pPr>
      <w:pStyle w:val="Head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pict w14:anchorId="4A917E25">
        <v:rect id="_x0000_i1026" style="width:0;height:1.5pt" o:hralign="center" o:hrstd="t" o:hr="t" fillcolor="#aca899" stroked="f"/>
      </w:pict>
    </w:r>
  </w:p>
  <w:p w14:paraId="4A917E1F" w14:textId="77777777" w:rsidR="00BB03F3" w:rsidRPr="008F65A6" w:rsidRDefault="00BB03F3">
    <w:pPr>
      <w:pStyle w:val="Header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7E22" w14:textId="1DA19CBD" w:rsidR="00BB03F3" w:rsidRPr="002334E2" w:rsidRDefault="00BB03F3" w:rsidP="00FE060E">
    <w:pPr>
      <w:pStyle w:val="Header"/>
      <w:spacing w:before="120" w:after="240"/>
      <w:ind w:left="2880" w:right="-43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0938"/>
    <w:multiLevelType w:val="hybridMultilevel"/>
    <w:tmpl w:val="8F74C5DE"/>
    <w:lvl w:ilvl="0" w:tplc="47C4881C">
      <w:numFmt w:val="bullet"/>
      <w:lvlText w:val=""/>
      <w:lvlJc w:val="left"/>
      <w:pPr>
        <w:ind w:left="820" w:hanging="361"/>
      </w:pPr>
      <w:rPr>
        <w:rFonts w:ascii="Symbol" w:hAnsi="Symbol" w:hint="default"/>
      </w:rPr>
    </w:lvl>
    <w:lvl w:ilvl="1" w:tplc="131E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6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E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8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AB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42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A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9DD40"/>
    <w:multiLevelType w:val="hybridMultilevel"/>
    <w:tmpl w:val="0BF28102"/>
    <w:lvl w:ilvl="0" w:tplc="C2A49F7C">
      <w:numFmt w:val="bullet"/>
      <w:lvlText w:val=""/>
      <w:lvlJc w:val="left"/>
      <w:pPr>
        <w:ind w:left="820" w:hanging="361"/>
      </w:pPr>
      <w:rPr>
        <w:rFonts w:ascii="Symbol" w:hAnsi="Symbol" w:hint="default"/>
      </w:rPr>
    </w:lvl>
    <w:lvl w:ilvl="1" w:tplc="F0A21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C4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E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7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C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D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E8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28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B22CE"/>
    <w:multiLevelType w:val="hybridMultilevel"/>
    <w:tmpl w:val="CD92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7FF9"/>
    <w:multiLevelType w:val="hybridMultilevel"/>
    <w:tmpl w:val="9948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4525"/>
    <w:multiLevelType w:val="hybridMultilevel"/>
    <w:tmpl w:val="BFF0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69EB"/>
    <w:multiLevelType w:val="multilevel"/>
    <w:tmpl w:val="42B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183554">
    <w:abstractNumId w:val="0"/>
  </w:num>
  <w:num w:numId="2" w16cid:durableId="1843469508">
    <w:abstractNumId w:val="1"/>
  </w:num>
  <w:num w:numId="3" w16cid:durableId="1855025760">
    <w:abstractNumId w:val="3"/>
  </w:num>
  <w:num w:numId="4" w16cid:durableId="478498879">
    <w:abstractNumId w:val="3"/>
  </w:num>
  <w:num w:numId="5" w16cid:durableId="899443432">
    <w:abstractNumId w:val="2"/>
  </w:num>
  <w:num w:numId="6" w16cid:durableId="1538615953">
    <w:abstractNumId w:val="4"/>
  </w:num>
  <w:num w:numId="7" w16cid:durableId="1549218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F3"/>
    <w:rsid w:val="00005660"/>
    <w:rsid w:val="00025EA3"/>
    <w:rsid w:val="00026CEB"/>
    <w:rsid w:val="00042A4D"/>
    <w:rsid w:val="000523EC"/>
    <w:rsid w:val="000535E8"/>
    <w:rsid w:val="00067F39"/>
    <w:rsid w:val="00081EE8"/>
    <w:rsid w:val="00082DBE"/>
    <w:rsid w:val="000A539A"/>
    <w:rsid w:val="000D490E"/>
    <w:rsid w:val="000E06AA"/>
    <w:rsid w:val="000E0866"/>
    <w:rsid w:val="000E7C0B"/>
    <w:rsid w:val="000F0E0C"/>
    <w:rsid w:val="000F407E"/>
    <w:rsid w:val="00100A95"/>
    <w:rsid w:val="00105EFA"/>
    <w:rsid w:val="00112CD6"/>
    <w:rsid w:val="00116E21"/>
    <w:rsid w:val="00154576"/>
    <w:rsid w:val="001549C9"/>
    <w:rsid w:val="0017346F"/>
    <w:rsid w:val="00177677"/>
    <w:rsid w:val="0017775A"/>
    <w:rsid w:val="001824CD"/>
    <w:rsid w:val="001B353A"/>
    <w:rsid w:val="001D1A59"/>
    <w:rsid w:val="001E2EE4"/>
    <w:rsid w:val="002064C0"/>
    <w:rsid w:val="00217E05"/>
    <w:rsid w:val="00230708"/>
    <w:rsid w:val="002334E2"/>
    <w:rsid w:val="00293994"/>
    <w:rsid w:val="00295E4D"/>
    <w:rsid w:val="002D5EC7"/>
    <w:rsid w:val="00316564"/>
    <w:rsid w:val="003179A7"/>
    <w:rsid w:val="00331CA5"/>
    <w:rsid w:val="003405C8"/>
    <w:rsid w:val="0034150C"/>
    <w:rsid w:val="00343964"/>
    <w:rsid w:val="00362F2D"/>
    <w:rsid w:val="003B4679"/>
    <w:rsid w:val="003C1E75"/>
    <w:rsid w:val="004028C4"/>
    <w:rsid w:val="0040598C"/>
    <w:rsid w:val="00441703"/>
    <w:rsid w:val="004B7F8F"/>
    <w:rsid w:val="004E42F8"/>
    <w:rsid w:val="004F57D7"/>
    <w:rsid w:val="005413FC"/>
    <w:rsid w:val="0055558E"/>
    <w:rsid w:val="00561FED"/>
    <w:rsid w:val="00562922"/>
    <w:rsid w:val="00566736"/>
    <w:rsid w:val="00585E51"/>
    <w:rsid w:val="005A0D35"/>
    <w:rsid w:val="006018DA"/>
    <w:rsid w:val="00603D2E"/>
    <w:rsid w:val="00625DDD"/>
    <w:rsid w:val="006312E5"/>
    <w:rsid w:val="006616CD"/>
    <w:rsid w:val="00662F3A"/>
    <w:rsid w:val="006B7966"/>
    <w:rsid w:val="006C067D"/>
    <w:rsid w:val="006E36AD"/>
    <w:rsid w:val="006F2316"/>
    <w:rsid w:val="006F5F8D"/>
    <w:rsid w:val="006F6FEC"/>
    <w:rsid w:val="00710737"/>
    <w:rsid w:val="0075597C"/>
    <w:rsid w:val="007659C8"/>
    <w:rsid w:val="00766E8A"/>
    <w:rsid w:val="007A6A84"/>
    <w:rsid w:val="007B32C2"/>
    <w:rsid w:val="007B5DF1"/>
    <w:rsid w:val="007D2DB2"/>
    <w:rsid w:val="007E5286"/>
    <w:rsid w:val="007F4E65"/>
    <w:rsid w:val="00800614"/>
    <w:rsid w:val="008014A2"/>
    <w:rsid w:val="00806F0A"/>
    <w:rsid w:val="00810782"/>
    <w:rsid w:val="00822C28"/>
    <w:rsid w:val="00824528"/>
    <w:rsid w:val="00834D65"/>
    <w:rsid w:val="008404A0"/>
    <w:rsid w:val="008575F0"/>
    <w:rsid w:val="008737C6"/>
    <w:rsid w:val="008B4B8C"/>
    <w:rsid w:val="008B5551"/>
    <w:rsid w:val="008F65A6"/>
    <w:rsid w:val="0094170F"/>
    <w:rsid w:val="009517FA"/>
    <w:rsid w:val="009B6B85"/>
    <w:rsid w:val="009F01B3"/>
    <w:rsid w:val="009F3013"/>
    <w:rsid w:val="009F498C"/>
    <w:rsid w:val="00A041EC"/>
    <w:rsid w:val="00A1068C"/>
    <w:rsid w:val="00A213B6"/>
    <w:rsid w:val="00A22AB2"/>
    <w:rsid w:val="00A62747"/>
    <w:rsid w:val="00A8226C"/>
    <w:rsid w:val="00AA562A"/>
    <w:rsid w:val="00AA6F44"/>
    <w:rsid w:val="00AB089C"/>
    <w:rsid w:val="00AB692C"/>
    <w:rsid w:val="00AD769A"/>
    <w:rsid w:val="00AE36C6"/>
    <w:rsid w:val="00AE3B9B"/>
    <w:rsid w:val="00AF722A"/>
    <w:rsid w:val="00B22861"/>
    <w:rsid w:val="00B3680D"/>
    <w:rsid w:val="00B4523E"/>
    <w:rsid w:val="00B64E4C"/>
    <w:rsid w:val="00B734AC"/>
    <w:rsid w:val="00B7559C"/>
    <w:rsid w:val="00B77153"/>
    <w:rsid w:val="00B77D5D"/>
    <w:rsid w:val="00B82FB2"/>
    <w:rsid w:val="00B86500"/>
    <w:rsid w:val="00B91743"/>
    <w:rsid w:val="00BA12CB"/>
    <w:rsid w:val="00BB03F3"/>
    <w:rsid w:val="00BC23F8"/>
    <w:rsid w:val="00BD50F2"/>
    <w:rsid w:val="00BE59D1"/>
    <w:rsid w:val="00BF6543"/>
    <w:rsid w:val="00C02FBD"/>
    <w:rsid w:val="00C06875"/>
    <w:rsid w:val="00C47295"/>
    <w:rsid w:val="00C6211A"/>
    <w:rsid w:val="00C925F5"/>
    <w:rsid w:val="00CC0694"/>
    <w:rsid w:val="00CC32D9"/>
    <w:rsid w:val="00D12576"/>
    <w:rsid w:val="00D40F35"/>
    <w:rsid w:val="00D5595B"/>
    <w:rsid w:val="00D75BD3"/>
    <w:rsid w:val="00D75CF0"/>
    <w:rsid w:val="00D767BA"/>
    <w:rsid w:val="00DA23B9"/>
    <w:rsid w:val="00DA43A2"/>
    <w:rsid w:val="00DB0047"/>
    <w:rsid w:val="00DB015D"/>
    <w:rsid w:val="00DB3467"/>
    <w:rsid w:val="00DD0FE5"/>
    <w:rsid w:val="00DD7BC6"/>
    <w:rsid w:val="00DE1624"/>
    <w:rsid w:val="00DE40B8"/>
    <w:rsid w:val="00DE5477"/>
    <w:rsid w:val="00DF0887"/>
    <w:rsid w:val="00E04B57"/>
    <w:rsid w:val="00E151D4"/>
    <w:rsid w:val="00E32AFC"/>
    <w:rsid w:val="00E54E84"/>
    <w:rsid w:val="00EA459C"/>
    <w:rsid w:val="00EA7F9B"/>
    <w:rsid w:val="00EB1EDC"/>
    <w:rsid w:val="00EC6665"/>
    <w:rsid w:val="00ED37A9"/>
    <w:rsid w:val="00ED57F9"/>
    <w:rsid w:val="00EF6549"/>
    <w:rsid w:val="00F35E7B"/>
    <w:rsid w:val="00F40F5D"/>
    <w:rsid w:val="00F55C89"/>
    <w:rsid w:val="00F813E8"/>
    <w:rsid w:val="00FB6E3D"/>
    <w:rsid w:val="00FB70EA"/>
    <w:rsid w:val="00FC1AFA"/>
    <w:rsid w:val="00FC3B67"/>
    <w:rsid w:val="00FD5D85"/>
    <w:rsid w:val="00FE060E"/>
    <w:rsid w:val="00FF756E"/>
    <w:rsid w:val="02510AB5"/>
    <w:rsid w:val="031C3809"/>
    <w:rsid w:val="032E7BDE"/>
    <w:rsid w:val="087CFD1D"/>
    <w:rsid w:val="092599DE"/>
    <w:rsid w:val="0942CA71"/>
    <w:rsid w:val="0CB309BC"/>
    <w:rsid w:val="0F466105"/>
    <w:rsid w:val="1005E426"/>
    <w:rsid w:val="1121B77A"/>
    <w:rsid w:val="12EFE940"/>
    <w:rsid w:val="13122D9A"/>
    <w:rsid w:val="14693841"/>
    <w:rsid w:val="14CCB2B5"/>
    <w:rsid w:val="151EE564"/>
    <w:rsid w:val="1676F16E"/>
    <w:rsid w:val="16F2A82B"/>
    <w:rsid w:val="17148759"/>
    <w:rsid w:val="19C1F500"/>
    <w:rsid w:val="1D4CCA02"/>
    <w:rsid w:val="1E5BFD90"/>
    <w:rsid w:val="1F94295F"/>
    <w:rsid w:val="22000602"/>
    <w:rsid w:val="23FB8F04"/>
    <w:rsid w:val="242B2D44"/>
    <w:rsid w:val="249E248E"/>
    <w:rsid w:val="24A9E439"/>
    <w:rsid w:val="24C62B7C"/>
    <w:rsid w:val="25408BA0"/>
    <w:rsid w:val="261622EA"/>
    <w:rsid w:val="29761EE6"/>
    <w:rsid w:val="2D79AA47"/>
    <w:rsid w:val="2EA27AE6"/>
    <w:rsid w:val="2ED793AE"/>
    <w:rsid w:val="2FD5B61A"/>
    <w:rsid w:val="336B6C68"/>
    <w:rsid w:val="33D99FE4"/>
    <w:rsid w:val="33F46345"/>
    <w:rsid w:val="36EBDC27"/>
    <w:rsid w:val="37D811C4"/>
    <w:rsid w:val="37FF78C5"/>
    <w:rsid w:val="384C6658"/>
    <w:rsid w:val="38EFE271"/>
    <w:rsid w:val="3A2E8433"/>
    <w:rsid w:val="3BBCB59E"/>
    <w:rsid w:val="3BC2EE63"/>
    <w:rsid w:val="3C47A1C2"/>
    <w:rsid w:val="3C514408"/>
    <w:rsid w:val="3C6F727D"/>
    <w:rsid w:val="3D948685"/>
    <w:rsid w:val="3E24880E"/>
    <w:rsid w:val="3E7BB7C4"/>
    <w:rsid w:val="3F953EC6"/>
    <w:rsid w:val="3FCBF956"/>
    <w:rsid w:val="41307A0A"/>
    <w:rsid w:val="415D436B"/>
    <w:rsid w:val="418F0E70"/>
    <w:rsid w:val="44047DFD"/>
    <w:rsid w:val="44248840"/>
    <w:rsid w:val="456A4802"/>
    <w:rsid w:val="478AFD87"/>
    <w:rsid w:val="483847F8"/>
    <w:rsid w:val="493548D9"/>
    <w:rsid w:val="4949C00F"/>
    <w:rsid w:val="496710BF"/>
    <w:rsid w:val="49BF5C2D"/>
    <w:rsid w:val="49E64DA2"/>
    <w:rsid w:val="4A51B144"/>
    <w:rsid w:val="4A5E7F49"/>
    <w:rsid w:val="4BBA206A"/>
    <w:rsid w:val="4C7500AD"/>
    <w:rsid w:val="4C8475B2"/>
    <w:rsid w:val="4CC439BB"/>
    <w:rsid w:val="4CE8C17D"/>
    <w:rsid w:val="4E004E2A"/>
    <w:rsid w:val="4E859B93"/>
    <w:rsid w:val="4ED12119"/>
    <w:rsid w:val="4ED1FF7C"/>
    <w:rsid w:val="4F4EA96B"/>
    <w:rsid w:val="4F7C7376"/>
    <w:rsid w:val="4FFBFA64"/>
    <w:rsid w:val="5218430A"/>
    <w:rsid w:val="52A2C7D3"/>
    <w:rsid w:val="53DB8ED8"/>
    <w:rsid w:val="540316BC"/>
    <w:rsid w:val="54B6CB91"/>
    <w:rsid w:val="55085749"/>
    <w:rsid w:val="566279F9"/>
    <w:rsid w:val="56713A24"/>
    <w:rsid w:val="5689E786"/>
    <w:rsid w:val="56B9FBD6"/>
    <w:rsid w:val="56D85524"/>
    <w:rsid w:val="5701C642"/>
    <w:rsid w:val="5A082965"/>
    <w:rsid w:val="5A1B7940"/>
    <w:rsid w:val="5A5F6657"/>
    <w:rsid w:val="5BF8BBD0"/>
    <w:rsid w:val="5C30F640"/>
    <w:rsid w:val="5D26FF70"/>
    <w:rsid w:val="5DCA9B5B"/>
    <w:rsid w:val="5E69BAE3"/>
    <w:rsid w:val="5E8710E6"/>
    <w:rsid w:val="619F5E93"/>
    <w:rsid w:val="62834B9F"/>
    <w:rsid w:val="63679DD4"/>
    <w:rsid w:val="64250C37"/>
    <w:rsid w:val="645677DF"/>
    <w:rsid w:val="64FF9BFF"/>
    <w:rsid w:val="66ACB92C"/>
    <w:rsid w:val="671D3EE4"/>
    <w:rsid w:val="67B4D9CF"/>
    <w:rsid w:val="68F26726"/>
    <w:rsid w:val="69C9ADD1"/>
    <w:rsid w:val="6A58C08F"/>
    <w:rsid w:val="6AB3E929"/>
    <w:rsid w:val="6CDF5A55"/>
    <w:rsid w:val="6D26CB25"/>
    <w:rsid w:val="6D6F4A14"/>
    <w:rsid w:val="6D792C85"/>
    <w:rsid w:val="6D873705"/>
    <w:rsid w:val="6D9F3F50"/>
    <w:rsid w:val="6DA858C4"/>
    <w:rsid w:val="6DEB0F97"/>
    <w:rsid w:val="6E00F265"/>
    <w:rsid w:val="6E9D3FDF"/>
    <w:rsid w:val="6F6AE51C"/>
    <w:rsid w:val="6FD4BEF6"/>
    <w:rsid w:val="7044EF0B"/>
    <w:rsid w:val="70940D95"/>
    <w:rsid w:val="710A8C2A"/>
    <w:rsid w:val="716709D4"/>
    <w:rsid w:val="7189A6DC"/>
    <w:rsid w:val="73372754"/>
    <w:rsid w:val="736D153E"/>
    <w:rsid w:val="7389D938"/>
    <w:rsid w:val="7514B06E"/>
    <w:rsid w:val="753FFD9B"/>
    <w:rsid w:val="76D9381A"/>
    <w:rsid w:val="76ED98CD"/>
    <w:rsid w:val="77BB61B1"/>
    <w:rsid w:val="79368BE1"/>
    <w:rsid w:val="7939AEA4"/>
    <w:rsid w:val="7951BEFA"/>
    <w:rsid w:val="7A16C2FE"/>
    <w:rsid w:val="7BA94503"/>
    <w:rsid w:val="7BAC4964"/>
    <w:rsid w:val="7D87A3F6"/>
    <w:rsid w:val="7DA28CC0"/>
    <w:rsid w:val="7E250148"/>
    <w:rsid w:val="7E5E14F3"/>
    <w:rsid w:val="7EE5AB98"/>
    <w:rsid w:val="7F649443"/>
    <w:rsid w:val="7FB0E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917DD8"/>
  <w15:docId w15:val="{3D2A9BA7-0D1D-4402-9858-5F60A5A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44"/>
    </w:rPr>
  </w:style>
  <w:style w:type="paragraph" w:styleId="BodyText">
    <w:name w:val="Body Text"/>
    <w:basedOn w:val="Normal"/>
    <w:rPr>
      <w:bCs/>
      <w:iCs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</w:style>
  <w:style w:type="paragraph" w:styleId="BalloonText">
    <w:name w:val="Balloon Text"/>
    <w:basedOn w:val="Normal"/>
    <w:link w:val="BalloonTextChar"/>
    <w:rsid w:val="00FC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B67"/>
    <w:rPr>
      <w:rFonts w:ascii="Tahoma" w:hAnsi="Tahoma" w:cs="Tahoma"/>
      <w:sz w:val="16"/>
      <w:szCs w:val="16"/>
    </w:rPr>
  </w:style>
  <w:style w:type="character" w:customStyle="1" w:styleId="s7">
    <w:name w:val="s7"/>
    <w:basedOn w:val="DefaultParagraphFont"/>
    <w:rsid w:val="0075597C"/>
  </w:style>
  <w:style w:type="character" w:customStyle="1" w:styleId="s5">
    <w:name w:val="s5"/>
    <w:basedOn w:val="DefaultParagraphFont"/>
    <w:rsid w:val="0075597C"/>
  </w:style>
  <w:style w:type="paragraph" w:styleId="NormalWeb">
    <w:name w:val="Normal (Web)"/>
    <w:basedOn w:val="Normal"/>
    <w:uiPriority w:val="99"/>
    <w:unhideWhenUsed/>
    <w:rsid w:val="00295E4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17F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F6FEC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3439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39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39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964"/>
    <w:rPr>
      <w:b/>
      <w:bCs/>
    </w:rPr>
  </w:style>
  <w:style w:type="character" w:styleId="Mention">
    <w:name w:val="Mention"/>
    <w:basedOn w:val="DefaultParagraphFont"/>
    <w:uiPriority w:val="99"/>
    <w:unhideWhenUsed/>
    <w:rsid w:val="000F40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B0F52A-0033-4FCE-9618-6E256346B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C1949-7C73-4B61-89B6-EC164824002C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3.xml><?xml version="1.0" encoding="utf-8"?>
<ds:datastoreItem xmlns:ds="http://schemas.openxmlformats.org/officeDocument/2006/customXml" ds:itemID="{DBD2B896-FD12-480C-84AF-A60C9D64C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A86AB-1F35-4580-91C8-03DB165DEC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2711</Characters>
  <Application>Microsoft Office Word</Application>
  <DocSecurity>4</DocSecurity>
  <Lines>22</Lines>
  <Paragraphs>6</Paragraphs>
  <ScaleCrop>false</ScaleCrop>
  <Company>CHA/CAHHS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Anderson</dc:creator>
  <cp:keywords/>
  <cp:lastModifiedBy>Brianna Parker</cp:lastModifiedBy>
  <cp:revision>19</cp:revision>
  <cp:lastPrinted>2019-04-01T20:03:00Z</cp:lastPrinted>
  <dcterms:created xsi:type="dcterms:W3CDTF">2025-06-13T20:08:00Z</dcterms:created>
  <dcterms:modified xsi:type="dcterms:W3CDTF">2025-06-17T16:15:00Z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0x01010092C6998AEF49B14C9162997A2C2FC277</vt:lpwstr>
  </property>
  <property fmtid="{D5CDD505-2E9C-101B-9397-08002B2CF9AE}" pid="4" name="MediaServiceImageTags">
    <vt:lpwstr/>
  </property>
</Properties>
</file>